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06888" w14:textId="77777777" w:rsidR="000E1F2E" w:rsidRDefault="00E1617B">
      <w:pPr>
        <w:pStyle w:val="Heading"/>
        <w:jc w:val="center"/>
        <w:rPr>
          <w:sz w:val="26"/>
          <w:szCs w:val="26"/>
        </w:rPr>
      </w:pPr>
      <w:bookmarkStart w:id="0" w:name="_GoBack"/>
      <w:bookmarkEnd w:id="0"/>
      <w:proofErr w:type="spellStart"/>
      <w:r>
        <w:rPr>
          <w:sz w:val="26"/>
          <w:szCs w:val="26"/>
        </w:rPr>
        <w:t>Colgan</w:t>
      </w:r>
      <w:proofErr w:type="spellEnd"/>
      <w:r>
        <w:rPr>
          <w:sz w:val="26"/>
          <w:szCs w:val="26"/>
        </w:rPr>
        <w:t xml:space="preserve"> 3407 Eight Years Later - </w:t>
      </w:r>
    </w:p>
    <w:p w14:paraId="1BD707F8" w14:textId="77777777" w:rsidR="000E1F2E" w:rsidRDefault="00E1617B">
      <w:pPr>
        <w:pStyle w:val="Heading"/>
        <w:jc w:val="center"/>
        <w:rPr>
          <w:sz w:val="26"/>
          <w:szCs w:val="26"/>
        </w:rPr>
      </w:pPr>
      <w:r>
        <w:rPr>
          <w:sz w:val="26"/>
          <w:szCs w:val="26"/>
        </w:rPr>
        <w:t>Making a Difference in Aviation Safety</w:t>
      </w:r>
    </w:p>
    <w:p w14:paraId="2359716A" w14:textId="77777777" w:rsidR="000E1F2E" w:rsidRDefault="000E1F2E">
      <w:pPr>
        <w:pStyle w:val="Body"/>
        <w:jc w:val="center"/>
        <w:rPr>
          <w:b/>
          <w:bCs/>
          <w:sz w:val="24"/>
          <w:szCs w:val="24"/>
        </w:rPr>
      </w:pPr>
    </w:p>
    <w:p w14:paraId="3960AB74" w14:textId="77777777" w:rsidR="000E1F2E" w:rsidRDefault="000E1F2E">
      <w:pPr>
        <w:pStyle w:val="Body"/>
        <w:jc w:val="center"/>
        <w:rPr>
          <w:b/>
          <w:bCs/>
          <w:sz w:val="24"/>
          <w:szCs w:val="24"/>
        </w:rPr>
      </w:pPr>
    </w:p>
    <w:p w14:paraId="4C9E409B" w14:textId="77777777" w:rsidR="000E1F2E" w:rsidRDefault="00E1617B">
      <w:pPr>
        <w:pStyle w:val="Body"/>
        <w:jc w:val="center"/>
        <w:rPr>
          <w:b/>
          <w:bCs/>
          <w:sz w:val="24"/>
          <w:szCs w:val="24"/>
        </w:rPr>
      </w:pPr>
      <w:r>
        <w:rPr>
          <w:b/>
          <w:bCs/>
          <w:sz w:val="24"/>
          <w:szCs w:val="24"/>
        </w:rPr>
        <w:t>by Roger Cox</w:t>
      </w:r>
    </w:p>
    <w:p w14:paraId="6E214E60" w14:textId="77777777" w:rsidR="000E1F2E" w:rsidRDefault="00E1617B">
      <w:pPr>
        <w:pStyle w:val="Body"/>
        <w:jc w:val="center"/>
        <w:rPr>
          <w:b/>
          <w:bCs/>
          <w:sz w:val="24"/>
          <w:szCs w:val="24"/>
        </w:rPr>
      </w:pPr>
      <w:r>
        <w:rPr>
          <w:b/>
          <w:bCs/>
          <w:sz w:val="24"/>
          <w:szCs w:val="24"/>
        </w:rPr>
        <w:t>ISASI #MO6117</w:t>
      </w:r>
    </w:p>
    <w:p w14:paraId="0EC8B170" w14:textId="77777777" w:rsidR="000E1F2E" w:rsidRDefault="000E1F2E">
      <w:pPr>
        <w:pStyle w:val="Body"/>
        <w:jc w:val="both"/>
        <w:rPr>
          <w:b/>
          <w:bCs/>
          <w:sz w:val="24"/>
          <w:szCs w:val="24"/>
        </w:rPr>
      </w:pPr>
    </w:p>
    <w:p w14:paraId="444BD334" w14:textId="77777777" w:rsidR="000E1F2E" w:rsidRDefault="000E1F2E">
      <w:pPr>
        <w:pStyle w:val="Body"/>
        <w:jc w:val="both"/>
        <w:rPr>
          <w:sz w:val="24"/>
          <w:szCs w:val="24"/>
        </w:rPr>
      </w:pPr>
    </w:p>
    <w:p w14:paraId="2BF2509A" w14:textId="77777777" w:rsidR="000E1F2E" w:rsidRDefault="00E1617B">
      <w:pPr>
        <w:pStyle w:val="Body"/>
        <w:jc w:val="both"/>
        <w:rPr>
          <w:i/>
          <w:iCs/>
          <w:sz w:val="24"/>
          <w:szCs w:val="24"/>
        </w:rPr>
      </w:pPr>
      <w:r>
        <w:rPr>
          <w:sz w:val="24"/>
          <w:szCs w:val="24"/>
        </w:rPr>
        <w:tab/>
      </w:r>
      <w:r>
        <w:rPr>
          <w:i/>
          <w:iCs/>
          <w:sz w:val="24"/>
          <w:szCs w:val="24"/>
        </w:rPr>
        <w:t>Roger Cox was the NTSB’s operational factors g</w:t>
      </w:r>
      <w:r w:rsidR="00304954">
        <w:rPr>
          <w:i/>
          <w:iCs/>
          <w:sz w:val="24"/>
          <w:szCs w:val="24"/>
        </w:rPr>
        <w:t xml:space="preserve">roup chairman during the </w:t>
      </w:r>
      <w:proofErr w:type="spellStart"/>
      <w:r w:rsidR="00304954">
        <w:rPr>
          <w:i/>
          <w:iCs/>
          <w:sz w:val="24"/>
          <w:szCs w:val="24"/>
        </w:rPr>
        <w:t>Colgan</w:t>
      </w:r>
      <w:proofErr w:type="spellEnd"/>
      <w:r w:rsidR="00304954">
        <w:rPr>
          <w:i/>
          <w:iCs/>
          <w:sz w:val="24"/>
          <w:szCs w:val="24"/>
        </w:rPr>
        <w:t xml:space="preserve"> </w:t>
      </w:r>
      <w:r>
        <w:rPr>
          <w:i/>
          <w:iCs/>
          <w:sz w:val="24"/>
          <w:szCs w:val="24"/>
        </w:rPr>
        <w:t>3407 investigation. He authored or co-authored a number of the recommendations in the NTSB report, and he co-managed the NTSB public forum on Professionalism in Aviation in 2010. He was an investigator for nine years and a National Resource Specialist at the NTSB following his career as an airline pilot. During his flying career, he logged 18,000 hours in a variety of aircraft, including Boeing, Airbus and Lockheed transports. He is now retired but remains active in safety and accident investigation affairs.</w:t>
      </w:r>
    </w:p>
    <w:p w14:paraId="0A0AEE34" w14:textId="77777777" w:rsidR="000E1F2E" w:rsidRDefault="000E1F2E">
      <w:pPr>
        <w:pStyle w:val="Body"/>
        <w:jc w:val="both"/>
        <w:rPr>
          <w:i/>
          <w:iCs/>
          <w:sz w:val="24"/>
          <w:szCs w:val="24"/>
        </w:rPr>
      </w:pPr>
    </w:p>
    <w:p w14:paraId="6060F497" w14:textId="77777777" w:rsidR="000E1F2E" w:rsidRDefault="000E1F2E">
      <w:pPr>
        <w:pStyle w:val="Body"/>
        <w:jc w:val="both"/>
        <w:rPr>
          <w:i/>
          <w:iCs/>
          <w:sz w:val="24"/>
          <w:szCs w:val="24"/>
        </w:rPr>
      </w:pPr>
    </w:p>
    <w:p w14:paraId="02942B70" w14:textId="77777777" w:rsidR="000E1F2E" w:rsidRDefault="00E1617B">
      <w:pPr>
        <w:pStyle w:val="Heading2"/>
        <w:rPr>
          <w:sz w:val="26"/>
          <w:szCs w:val="26"/>
        </w:rPr>
      </w:pPr>
      <w:r>
        <w:rPr>
          <w:sz w:val="26"/>
          <w:szCs w:val="26"/>
        </w:rPr>
        <w:t>Abstract</w:t>
      </w:r>
    </w:p>
    <w:p w14:paraId="09530E5B" w14:textId="77777777" w:rsidR="000E1F2E" w:rsidRDefault="000E1F2E">
      <w:pPr>
        <w:pStyle w:val="Body"/>
        <w:jc w:val="both"/>
        <w:rPr>
          <w:i/>
          <w:iCs/>
          <w:sz w:val="24"/>
          <w:szCs w:val="24"/>
        </w:rPr>
      </w:pPr>
    </w:p>
    <w:p w14:paraId="525A620C" w14:textId="77777777" w:rsidR="000E1F2E" w:rsidRDefault="00E1617B">
      <w:pPr>
        <w:pStyle w:val="Body"/>
        <w:jc w:val="both"/>
        <w:rPr>
          <w:sz w:val="24"/>
          <w:szCs w:val="24"/>
        </w:rPr>
      </w:pPr>
      <w:r>
        <w:rPr>
          <w:sz w:val="24"/>
          <w:szCs w:val="24"/>
        </w:rPr>
        <w:tab/>
      </w:r>
      <w:proofErr w:type="spellStart"/>
      <w:r>
        <w:rPr>
          <w:sz w:val="24"/>
          <w:szCs w:val="24"/>
        </w:rPr>
        <w:t>Colgan</w:t>
      </w:r>
      <w:proofErr w:type="spellEnd"/>
      <w:r>
        <w:rPr>
          <w:sz w:val="24"/>
          <w:szCs w:val="24"/>
        </w:rPr>
        <w:t xml:space="preserve"> flight 3407, a Bombardier DHC-8-400 </w:t>
      </w:r>
      <w:r w:rsidR="002A49D2">
        <w:rPr>
          <w:sz w:val="24"/>
          <w:szCs w:val="24"/>
        </w:rPr>
        <w:t xml:space="preserve">(Q400), </w:t>
      </w:r>
      <w:r>
        <w:rPr>
          <w:sz w:val="24"/>
          <w:szCs w:val="24"/>
        </w:rPr>
        <w:t>crashed near Buffalo, New York on February 12, 2009. The accident attracted wide attention and became one of the landmark investigations done in recent years. As a result of the accident, the United States Congress took the unusual step of enacting a new aviation safety law in 2010, building on and adding to the NTSB’s recommendations from its investigation. Eight years after the accident, over half the NTSB’s recommendations are still open, and some of the actions mandated by the law remain incomplete. Significant safety issues addressed by the NTSB in its report included flight crew monitoring failures, pilot professionalism, fatigue, remedial training, pilot training records, airspeed selection procedures, stall training, Federal Aviation Administration (FAA) oversight, flight operational quality assurance programs, use of personal portable electronic devices on the flight deck, the FAA’s use of safety alerts for operators to transmit safety-critical information, and weather information provided to pilots. Congress further addressed regional airline oversight and disclosure, safety management systems, screening and qualification of pilots, pilot records, and new requirements for ATP certification.</w:t>
      </w:r>
    </w:p>
    <w:p w14:paraId="70703E8A" w14:textId="77777777" w:rsidR="000E1F2E" w:rsidRDefault="000E1F2E">
      <w:pPr>
        <w:pStyle w:val="Body"/>
        <w:jc w:val="both"/>
        <w:rPr>
          <w:sz w:val="24"/>
          <w:szCs w:val="24"/>
        </w:rPr>
      </w:pPr>
    </w:p>
    <w:p w14:paraId="1D1C1D09" w14:textId="77777777" w:rsidR="000E1F2E" w:rsidRDefault="00E1617B">
      <w:pPr>
        <w:pStyle w:val="Body"/>
        <w:jc w:val="both"/>
        <w:rPr>
          <w:sz w:val="24"/>
          <w:szCs w:val="24"/>
        </w:rPr>
      </w:pPr>
      <w:r>
        <w:rPr>
          <w:sz w:val="24"/>
          <w:szCs w:val="24"/>
        </w:rPr>
        <w:tab/>
        <w:t>This paper summarizes the progress made toward improved aviation safety as a result of the investigation, and discusses actions still needed. The paper contrasts pilot certification, records and selection issues, pilot training issues, safety management issues, and FAA oversight and design standards issues before and after the investigation and attempts to realistically assess how much difference the investigation really made.</w:t>
      </w:r>
    </w:p>
    <w:p w14:paraId="5A92A122" w14:textId="77777777" w:rsidR="000E1F2E" w:rsidRDefault="000E1F2E">
      <w:pPr>
        <w:pStyle w:val="Body"/>
        <w:rPr>
          <w:sz w:val="24"/>
          <w:szCs w:val="24"/>
        </w:rPr>
      </w:pPr>
    </w:p>
    <w:p w14:paraId="463C7E67" w14:textId="77777777" w:rsidR="000E1F2E" w:rsidRDefault="000E1F2E">
      <w:pPr>
        <w:pStyle w:val="Body"/>
        <w:rPr>
          <w:sz w:val="24"/>
          <w:szCs w:val="24"/>
        </w:rPr>
      </w:pPr>
    </w:p>
    <w:p w14:paraId="19CA0239" w14:textId="77777777" w:rsidR="000E1F2E" w:rsidRDefault="000E1F2E" w:rsidP="002C07A8">
      <w:pPr>
        <w:pStyle w:val="Body"/>
        <w:rPr>
          <w:sz w:val="24"/>
          <w:szCs w:val="24"/>
        </w:rPr>
      </w:pPr>
    </w:p>
    <w:p w14:paraId="75C3FF26" w14:textId="77777777" w:rsidR="000E1F2E" w:rsidRDefault="00E1617B" w:rsidP="002C07A8">
      <w:pPr>
        <w:pStyle w:val="Body"/>
        <w:rPr>
          <w:sz w:val="24"/>
          <w:szCs w:val="24"/>
        </w:rPr>
      </w:pPr>
      <w:r>
        <w:rPr>
          <w:b/>
          <w:bCs/>
          <w:sz w:val="24"/>
          <w:szCs w:val="24"/>
        </w:rPr>
        <w:t>I</w:t>
      </w:r>
      <w:r>
        <w:rPr>
          <w:b/>
          <w:bCs/>
          <w:sz w:val="26"/>
          <w:szCs w:val="26"/>
        </w:rPr>
        <w:t xml:space="preserve">ntroduction </w:t>
      </w:r>
    </w:p>
    <w:p w14:paraId="7B2048B7" w14:textId="77777777" w:rsidR="000E1F2E" w:rsidRDefault="000E1F2E" w:rsidP="002C07A8">
      <w:pPr>
        <w:pStyle w:val="Body"/>
        <w:rPr>
          <w:sz w:val="24"/>
          <w:szCs w:val="24"/>
        </w:rPr>
      </w:pPr>
    </w:p>
    <w:p w14:paraId="209294AF" w14:textId="77777777" w:rsidR="000E1F2E" w:rsidRDefault="00E1617B" w:rsidP="002C07A8">
      <w:pPr>
        <w:pStyle w:val="Body"/>
        <w:rPr>
          <w:sz w:val="24"/>
          <w:szCs w:val="24"/>
        </w:rPr>
      </w:pPr>
      <w:r>
        <w:rPr>
          <w:sz w:val="24"/>
          <w:szCs w:val="24"/>
        </w:rPr>
        <w:tab/>
        <w:t>The reduction in the U.S. commercial airline accident rate and the increasing flow of operational data available to airlines and the FAA have led some observers to declare that actual accident investigations are of less and less value to air safety. For example, in a 2016 press release about the Commercial Air Safety Team (CAST), the FAA declared in part:</w:t>
      </w:r>
    </w:p>
    <w:p w14:paraId="325ECF52" w14:textId="77777777" w:rsidR="000E1F2E" w:rsidRDefault="000E1F2E" w:rsidP="002C07A8">
      <w:pPr>
        <w:pStyle w:val="Body"/>
        <w:rPr>
          <w:sz w:val="24"/>
          <w:szCs w:val="24"/>
        </w:rPr>
      </w:pPr>
    </w:p>
    <w:p w14:paraId="7A445D25" w14:textId="77777777" w:rsidR="000E1F2E" w:rsidRDefault="00E1617B" w:rsidP="002C07A8">
      <w:pPr>
        <w:pStyle w:val="Footnote"/>
        <w:ind w:left="720"/>
      </w:pPr>
      <w:r>
        <w:t>“CAST has evolved and the group is moving beyond the “historic” approach of examining past accident data to a proactive approach that focuses on detecting risk and implementing mitigation strategies before accidents or serious incidents occur.”</w:t>
      </w:r>
      <w:r w:rsidRPr="007057D2">
        <w:endnoteReference w:id="2"/>
      </w:r>
    </w:p>
    <w:p w14:paraId="2BB644E9" w14:textId="77777777" w:rsidR="000E1F2E" w:rsidRDefault="000E1F2E" w:rsidP="002C07A8">
      <w:pPr>
        <w:pStyle w:val="Body"/>
        <w:rPr>
          <w:i/>
          <w:iCs/>
          <w:sz w:val="24"/>
          <w:szCs w:val="24"/>
        </w:rPr>
      </w:pPr>
    </w:p>
    <w:p w14:paraId="0A7E6ADA" w14:textId="77777777" w:rsidR="000E1F2E" w:rsidRDefault="00E1617B" w:rsidP="002C07A8">
      <w:pPr>
        <w:pStyle w:val="Body"/>
        <w:jc w:val="both"/>
        <w:rPr>
          <w:sz w:val="24"/>
          <w:szCs w:val="24"/>
        </w:rPr>
      </w:pPr>
      <w:r>
        <w:rPr>
          <w:sz w:val="24"/>
          <w:szCs w:val="24"/>
        </w:rPr>
        <w:t xml:space="preserve">The implication was that data is replacing accident investigation analysis and recommendations as a rationale for changing policy and regulation. While there is no doubt that safety programs like Aviation Safety Action Programs (ASAP), Flight Operational Quality Assurance (FOQA) programs, and the Aviation Safety Information Analysis and Sharing (ASIAS) program are providing an enormous amount of operational data that hold great potential for safety improvements, investigations are still a vital part of understanding and preventing accidents. Given sufficient emphasis and resources, accident investigators can find out not only what happened, but can delve deeply into why it happened. Safety deficiencies that have lain dormant for many </w:t>
      </w:r>
      <w:proofErr w:type="gramStart"/>
      <w:r>
        <w:rPr>
          <w:sz w:val="24"/>
          <w:szCs w:val="24"/>
        </w:rPr>
        <w:t>years  come</w:t>
      </w:r>
      <w:proofErr w:type="gramEnd"/>
      <w:r>
        <w:rPr>
          <w:sz w:val="24"/>
          <w:szCs w:val="24"/>
        </w:rPr>
        <w:t xml:space="preserve"> to light.</w:t>
      </w:r>
      <w:r>
        <w:rPr>
          <w:i/>
          <w:iCs/>
          <w:sz w:val="24"/>
          <w:szCs w:val="24"/>
        </w:rPr>
        <w:t xml:space="preserve"> </w:t>
      </w:r>
      <w:r>
        <w:rPr>
          <w:sz w:val="24"/>
          <w:szCs w:val="24"/>
        </w:rPr>
        <w:t>Accident investigations can then provide a catalyst for action that masses of operational data cannot.</w:t>
      </w:r>
    </w:p>
    <w:p w14:paraId="2ED5D642" w14:textId="77777777" w:rsidR="000E1F2E" w:rsidRDefault="000E1F2E" w:rsidP="002C07A8">
      <w:pPr>
        <w:pStyle w:val="Body"/>
        <w:jc w:val="both"/>
        <w:rPr>
          <w:sz w:val="24"/>
          <w:szCs w:val="24"/>
        </w:rPr>
      </w:pPr>
    </w:p>
    <w:p w14:paraId="5C896A22" w14:textId="77777777" w:rsidR="000E1F2E" w:rsidRDefault="00E1617B" w:rsidP="002C07A8">
      <w:pPr>
        <w:pStyle w:val="Body"/>
        <w:jc w:val="both"/>
        <w:rPr>
          <w:sz w:val="24"/>
          <w:szCs w:val="24"/>
        </w:rPr>
      </w:pPr>
      <w:r>
        <w:rPr>
          <w:sz w:val="24"/>
          <w:szCs w:val="24"/>
        </w:rPr>
        <w:tab/>
        <w:t xml:space="preserve">The </w:t>
      </w:r>
      <w:proofErr w:type="spellStart"/>
      <w:r>
        <w:rPr>
          <w:sz w:val="24"/>
          <w:szCs w:val="24"/>
        </w:rPr>
        <w:t>Colgan</w:t>
      </w:r>
      <w:proofErr w:type="spellEnd"/>
      <w:r>
        <w:rPr>
          <w:sz w:val="24"/>
          <w:szCs w:val="24"/>
        </w:rPr>
        <w:t xml:space="preserve"> 3407 accident investigation was one of those catalyst investigations.  Company officials were often defensive, media coverage was relentless, and there was strong pressure from within the Board to complete the report in one year or less. Nonetheless, the investigative team was able to build on the work of previous investigations and probe deeply into the reasons why the accident occurred. The emergent facts during the investigation and the power of the final report energized the public, gained the attention of Congress, and drove the FAA and the industry to make substantive changes to practices they had resisted changing for years.</w:t>
      </w:r>
    </w:p>
    <w:p w14:paraId="1EB9711F" w14:textId="77777777" w:rsidR="000E1F2E" w:rsidRDefault="000E1F2E" w:rsidP="002C07A8">
      <w:pPr>
        <w:pStyle w:val="Body"/>
        <w:jc w:val="both"/>
        <w:rPr>
          <w:sz w:val="24"/>
          <w:szCs w:val="24"/>
        </w:rPr>
      </w:pPr>
    </w:p>
    <w:p w14:paraId="4B3572C6" w14:textId="77777777" w:rsidR="000E1F2E" w:rsidRDefault="00E1617B" w:rsidP="002C07A8">
      <w:pPr>
        <w:pStyle w:val="Body"/>
        <w:jc w:val="both"/>
        <w:rPr>
          <w:sz w:val="24"/>
          <w:szCs w:val="24"/>
        </w:rPr>
      </w:pPr>
      <w:r>
        <w:rPr>
          <w:sz w:val="24"/>
          <w:szCs w:val="24"/>
        </w:rPr>
        <w:tab/>
        <w:t>Only a few months after the NTSB issued its final report,</w:t>
      </w:r>
      <w:r>
        <w:rPr>
          <w:b/>
          <w:bCs/>
          <w:sz w:val="24"/>
          <w:szCs w:val="24"/>
          <w:vertAlign w:val="superscript"/>
        </w:rPr>
        <w:endnoteReference w:id="3"/>
      </w:r>
      <w:r>
        <w:rPr>
          <w:sz w:val="24"/>
          <w:szCs w:val="24"/>
        </w:rPr>
        <w:t xml:space="preserve"> the United States Congress acted, enacting PL 111-216, “The Airline Safety and Federal Aviation Administration Extension Act of 2010,” on August 1, 2010.</w:t>
      </w:r>
      <w:r>
        <w:rPr>
          <w:b/>
          <w:bCs/>
          <w:sz w:val="24"/>
          <w:szCs w:val="24"/>
          <w:vertAlign w:val="superscript"/>
        </w:rPr>
        <w:endnoteReference w:id="4"/>
      </w:r>
      <w:r>
        <w:rPr>
          <w:sz w:val="24"/>
          <w:szCs w:val="24"/>
        </w:rPr>
        <w:t xml:space="preserve"> This intervention by Congress into air safety issues was fairly rare.  Normally aviation regulations are written by the FAA under authority granted to it by Congress. The passage of laws directing creation of specific regulations usually only happens following one or more major accidents. For example, the FAA was created in 1958 following several midair collisions, one of which took place between two airliners over the Grand Canyon. Several other air safety actions were taken by Congress following accidents. A Department of Defense Commercial Airlift Review Board was created by Congress after a military charter plane crash in Gander, Newfoundland in 1985. The Aviation Disaster </w:t>
      </w:r>
      <w:r>
        <w:rPr>
          <w:sz w:val="24"/>
          <w:szCs w:val="24"/>
        </w:rPr>
        <w:lastRenderedPageBreak/>
        <w:t>Family Assistance Act was passed in 1996 following the US Air 427 accident in Pittsburgh, and its provisions were added to foreign carriers following the Korean Airlines accident in Guam in 1997.</w:t>
      </w:r>
    </w:p>
    <w:p w14:paraId="5C80FED4" w14:textId="77777777" w:rsidR="000E1F2E" w:rsidRDefault="000E1F2E" w:rsidP="002C07A8">
      <w:pPr>
        <w:pStyle w:val="Body"/>
        <w:jc w:val="both"/>
        <w:rPr>
          <w:sz w:val="24"/>
          <w:szCs w:val="24"/>
        </w:rPr>
      </w:pPr>
    </w:p>
    <w:p w14:paraId="5BBCF03E" w14:textId="77777777" w:rsidR="000E1F2E" w:rsidRDefault="00E1617B" w:rsidP="002C07A8">
      <w:pPr>
        <w:pStyle w:val="Body"/>
        <w:jc w:val="both"/>
        <w:rPr>
          <w:sz w:val="24"/>
          <w:szCs w:val="24"/>
        </w:rPr>
      </w:pPr>
      <w:r>
        <w:rPr>
          <w:sz w:val="24"/>
          <w:szCs w:val="24"/>
        </w:rPr>
        <w:tab/>
        <w:t xml:space="preserve">Many of the </w:t>
      </w:r>
      <w:proofErr w:type="spellStart"/>
      <w:r>
        <w:rPr>
          <w:sz w:val="24"/>
          <w:szCs w:val="24"/>
        </w:rPr>
        <w:t>Colgan</w:t>
      </w:r>
      <w:proofErr w:type="spellEnd"/>
      <w:r>
        <w:rPr>
          <w:sz w:val="24"/>
          <w:szCs w:val="24"/>
        </w:rPr>
        <w:t xml:space="preserve"> accident victims were from the Buffalo, New York, area. The Buffalo News provided extensive coverage of the accident investigation and soon an </w:t>
      </w:r>
      <w:r>
        <w:rPr>
          <w:sz w:val="24"/>
          <w:szCs w:val="24"/>
          <w:u w:val="single"/>
        </w:rPr>
        <w:t>ad</w:t>
      </w:r>
      <w:r>
        <w:rPr>
          <w:sz w:val="24"/>
          <w:szCs w:val="24"/>
        </w:rPr>
        <w:t xml:space="preserve"> </w:t>
      </w:r>
      <w:r>
        <w:rPr>
          <w:sz w:val="24"/>
          <w:szCs w:val="24"/>
          <w:u w:val="single"/>
        </w:rPr>
        <w:t>hoc</w:t>
      </w:r>
      <w:r>
        <w:rPr>
          <w:sz w:val="24"/>
          <w:szCs w:val="24"/>
        </w:rPr>
        <w:t xml:space="preserve"> group of victims’ families formed. Calling themselves “Families of Continental 3407,”</w:t>
      </w:r>
      <w:r>
        <w:rPr>
          <w:b/>
          <w:bCs/>
          <w:sz w:val="24"/>
          <w:szCs w:val="24"/>
          <w:vertAlign w:val="superscript"/>
        </w:rPr>
        <w:endnoteReference w:id="5"/>
      </w:r>
      <w:r>
        <w:rPr>
          <w:sz w:val="24"/>
          <w:szCs w:val="24"/>
        </w:rPr>
        <w:t xml:space="preserve"> they became a strong and effective lobbying group supporting changes to air safety rules. The NTSB’s public hearing, held only three months after the accident, drew a full house in the agency’s boardroom, and the testimony of the airline’s officials under questioning from investigators and board members drew surprise and anger from public observers.</w:t>
      </w:r>
    </w:p>
    <w:p w14:paraId="7A596392" w14:textId="77777777" w:rsidR="000E1F2E" w:rsidRDefault="000E1F2E" w:rsidP="002C07A8">
      <w:pPr>
        <w:pStyle w:val="Body"/>
        <w:jc w:val="both"/>
        <w:rPr>
          <w:sz w:val="24"/>
          <w:szCs w:val="24"/>
        </w:rPr>
      </w:pPr>
    </w:p>
    <w:p w14:paraId="524DCB34" w14:textId="77777777" w:rsidR="000E1F2E" w:rsidRDefault="00E1617B" w:rsidP="002C07A8">
      <w:pPr>
        <w:pStyle w:val="Body"/>
        <w:jc w:val="both"/>
        <w:rPr>
          <w:sz w:val="24"/>
          <w:szCs w:val="24"/>
        </w:rPr>
      </w:pPr>
      <w:r>
        <w:rPr>
          <w:sz w:val="24"/>
          <w:szCs w:val="24"/>
        </w:rPr>
        <w:tab/>
        <w:t>Even with the imposition of new law on the FAA and the aviation industry, progress in some areas has been slow. Rule-making was required by many of the law’s provisions, and rule-making is an inherently time consuming process. Advisory groups and commenters can bring progress almost to a halt. Nonetheless, almost all the provisions of the airline safety act have been completed. The phasing in of congressionally mandated changes will go on for another 2 years. Eight of the NTSB’s new and reiterated recommendations have been implemented; five have been closed unacceptable or no longer applicable, and fifteen remain open. Of the remaining open recommendations, most are getting close to resolution.</w:t>
      </w:r>
    </w:p>
    <w:p w14:paraId="0D796AC7" w14:textId="77777777" w:rsidR="000E1F2E" w:rsidRDefault="00E1617B" w:rsidP="002C07A8">
      <w:pPr>
        <w:pStyle w:val="Body"/>
        <w:jc w:val="both"/>
        <w:rPr>
          <w:sz w:val="24"/>
          <w:szCs w:val="24"/>
        </w:rPr>
      </w:pPr>
      <w:r>
        <w:rPr>
          <w:sz w:val="24"/>
          <w:szCs w:val="24"/>
        </w:rPr>
        <w:tab/>
      </w:r>
    </w:p>
    <w:p w14:paraId="06020274" w14:textId="77777777" w:rsidR="000E1F2E" w:rsidRDefault="000E1F2E" w:rsidP="002C07A8">
      <w:pPr>
        <w:pStyle w:val="Body"/>
        <w:jc w:val="both"/>
        <w:rPr>
          <w:sz w:val="24"/>
          <w:szCs w:val="24"/>
        </w:rPr>
      </w:pPr>
    </w:p>
    <w:p w14:paraId="1624CB6C" w14:textId="77777777" w:rsidR="000E1F2E" w:rsidRDefault="00E1617B" w:rsidP="002C07A8">
      <w:pPr>
        <w:pStyle w:val="Body"/>
        <w:jc w:val="both"/>
        <w:rPr>
          <w:sz w:val="26"/>
          <w:szCs w:val="26"/>
        </w:rPr>
      </w:pPr>
      <w:r>
        <w:rPr>
          <w:b/>
          <w:bCs/>
          <w:sz w:val="26"/>
          <w:szCs w:val="26"/>
        </w:rPr>
        <w:t>Background</w:t>
      </w:r>
    </w:p>
    <w:p w14:paraId="1C9CB951" w14:textId="77777777" w:rsidR="000E1F2E" w:rsidRDefault="000E1F2E" w:rsidP="002C07A8">
      <w:pPr>
        <w:pStyle w:val="Body"/>
        <w:jc w:val="both"/>
        <w:rPr>
          <w:sz w:val="24"/>
          <w:szCs w:val="24"/>
        </w:rPr>
      </w:pPr>
    </w:p>
    <w:p w14:paraId="437E0C0D" w14:textId="77777777" w:rsidR="000E1F2E" w:rsidRDefault="00E1617B" w:rsidP="002C07A8">
      <w:pPr>
        <w:pStyle w:val="Body"/>
        <w:jc w:val="both"/>
        <w:rPr>
          <w:sz w:val="24"/>
          <w:szCs w:val="24"/>
        </w:rPr>
      </w:pPr>
      <w:r>
        <w:rPr>
          <w:sz w:val="24"/>
          <w:szCs w:val="24"/>
        </w:rPr>
        <w:tab/>
      </w:r>
      <w:proofErr w:type="spellStart"/>
      <w:r>
        <w:rPr>
          <w:sz w:val="24"/>
          <w:szCs w:val="24"/>
        </w:rPr>
        <w:t>Colgan</w:t>
      </w:r>
      <w:proofErr w:type="spellEnd"/>
      <w:r>
        <w:rPr>
          <w:sz w:val="24"/>
          <w:szCs w:val="24"/>
        </w:rPr>
        <w:t xml:space="preserve"> Airlines was a regional airline. It contracted with major airlines, including United and Continental, to carry those airlines’ passengers from hub airports to smaller cities. By 2009, the regional airline industry had evolved from flying light reciprocating engine powered airplanes to flying jet and turboprop aircraft at sizes and speeds almost comparable to mainline airlines. In that year, regional airlines carried almost one quarter of the commercial passengers in the U.S.</w:t>
      </w:r>
      <w:r>
        <w:rPr>
          <w:b/>
          <w:bCs/>
          <w:sz w:val="24"/>
          <w:szCs w:val="24"/>
          <w:vertAlign w:val="superscript"/>
        </w:rPr>
        <w:endnoteReference w:id="6"/>
      </w:r>
      <w:r>
        <w:rPr>
          <w:sz w:val="24"/>
          <w:szCs w:val="24"/>
        </w:rPr>
        <w:t xml:space="preserve"> even though most of them were not known to the public under their own name, but under a mainline “express” name. The practice of selling passengers a ticket for a flight on a mainline carrier while providing part of the travel on a regional airline, known as code sharing, was not widely understood by the public. Regional airlines typically hired entry level pilots, paid them relatively low wages, and expected to see many of them leave for better paying jobs within a few years.</w:t>
      </w:r>
    </w:p>
    <w:p w14:paraId="55A12E55" w14:textId="77777777" w:rsidR="000E1F2E" w:rsidRDefault="000E1F2E" w:rsidP="002C07A8">
      <w:pPr>
        <w:pStyle w:val="Body"/>
        <w:jc w:val="both"/>
        <w:rPr>
          <w:sz w:val="24"/>
          <w:szCs w:val="24"/>
        </w:rPr>
      </w:pPr>
    </w:p>
    <w:p w14:paraId="237B4407" w14:textId="77777777" w:rsidR="000E1F2E" w:rsidRDefault="00E1617B" w:rsidP="002C07A8">
      <w:pPr>
        <w:pStyle w:val="Body"/>
        <w:jc w:val="both"/>
        <w:rPr>
          <w:sz w:val="24"/>
          <w:szCs w:val="24"/>
        </w:rPr>
      </w:pPr>
      <w:r>
        <w:rPr>
          <w:sz w:val="24"/>
          <w:szCs w:val="24"/>
        </w:rPr>
        <w:tab/>
      </w:r>
      <w:proofErr w:type="spellStart"/>
      <w:r>
        <w:rPr>
          <w:sz w:val="24"/>
          <w:szCs w:val="24"/>
        </w:rPr>
        <w:t>Colgan</w:t>
      </w:r>
      <w:proofErr w:type="spellEnd"/>
      <w:r>
        <w:rPr>
          <w:sz w:val="24"/>
          <w:szCs w:val="24"/>
        </w:rPr>
        <w:t xml:space="preserve"> was certified under 14 CFR part 121, the same rules that pertain to major airlines. Investigators approached the </w:t>
      </w:r>
      <w:proofErr w:type="spellStart"/>
      <w:r>
        <w:rPr>
          <w:sz w:val="24"/>
          <w:szCs w:val="24"/>
        </w:rPr>
        <w:t>Colgan</w:t>
      </w:r>
      <w:proofErr w:type="spellEnd"/>
      <w:r>
        <w:rPr>
          <w:sz w:val="24"/>
          <w:szCs w:val="24"/>
        </w:rPr>
        <w:t xml:space="preserve"> accident with the same objectivity they employed with any investigation. However, the safety standards of regional airlines compared with major airlines was a subject of interest to the investigators.</w:t>
      </w:r>
    </w:p>
    <w:p w14:paraId="4AED8F84" w14:textId="77777777" w:rsidR="000E1F2E" w:rsidRDefault="000E1F2E" w:rsidP="002C07A8">
      <w:pPr>
        <w:pStyle w:val="Body"/>
        <w:jc w:val="both"/>
        <w:rPr>
          <w:sz w:val="24"/>
          <w:szCs w:val="24"/>
        </w:rPr>
      </w:pPr>
    </w:p>
    <w:p w14:paraId="16A7A607" w14:textId="77777777" w:rsidR="000E1F2E" w:rsidRDefault="002C07A8" w:rsidP="002C07A8">
      <w:pPr>
        <w:pStyle w:val="Body"/>
        <w:jc w:val="both"/>
        <w:rPr>
          <w:sz w:val="24"/>
          <w:szCs w:val="24"/>
        </w:rPr>
      </w:pPr>
      <w:r>
        <w:rPr>
          <w:sz w:val="24"/>
          <w:szCs w:val="24"/>
        </w:rPr>
        <w:lastRenderedPageBreak/>
        <w:tab/>
        <w:t>In the 6</w:t>
      </w:r>
      <w:r w:rsidR="00E1617B">
        <w:rPr>
          <w:sz w:val="24"/>
          <w:szCs w:val="24"/>
        </w:rPr>
        <w:t xml:space="preserve"> years before the </w:t>
      </w:r>
      <w:proofErr w:type="spellStart"/>
      <w:r w:rsidR="00E1617B">
        <w:rPr>
          <w:sz w:val="24"/>
          <w:szCs w:val="24"/>
        </w:rPr>
        <w:t>Colgan</w:t>
      </w:r>
      <w:proofErr w:type="spellEnd"/>
      <w:r w:rsidR="00E1617B">
        <w:rPr>
          <w:sz w:val="24"/>
          <w:szCs w:val="24"/>
        </w:rPr>
        <w:t xml:space="preserve"> accident, U.S. scheduled passenger </w:t>
      </w:r>
      <w:proofErr w:type="gramStart"/>
      <w:r w:rsidR="00E1617B">
        <w:rPr>
          <w:sz w:val="24"/>
          <w:szCs w:val="24"/>
        </w:rPr>
        <w:t>airlines  experienced</w:t>
      </w:r>
      <w:proofErr w:type="gramEnd"/>
      <w:r w:rsidR="00E1617B">
        <w:rPr>
          <w:sz w:val="24"/>
          <w:szCs w:val="24"/>
        </w:rPr>
        <w:t xml:space="preserve"> the lowest number of fatalities in their history, with the exception of one segment - the regional airlines. Regional passenger airlines had 10 major accidents during that period, six of which involved fatalities. All but two of these accident flights involved companies with code sharing agreements with larger airlines. Flight crew actions, sometimes involving unprofessional behavior, were a factor in every accident but one.  These accidents are shown in Table 1.</w:t>
      </w:r>
    </w:p>
    <w:p w14:paraId="389923AC" w14:textId="77777777" w:rsidR="000E1F2E" w:rsidRDefault="000E1F2E" w:rsidP="002C07A8">
      <w:pPr>
        <w:pStyle w:val="Body"/>
        <w:jc w:val="both"/>
        <w:rPr>
          <w:sz w:val="24"/>
          <w:szCs w:val="24"/>
        </w:rPr>
      </w:pPr>
    </w:p>
    <w:p w14:paraId="65FA621C" w14:textId="77777777" w:rsidR="000E1F2E" w:rsidRDefault="000E1F2E" w:rsidP="002C07A8">
      <w:pPr>
        <w:pStyle w:val="Body"/>
        <w:jc w:val="both"/>
        <w:rPr>
          <w:sz w:val="24"/>
          <w:szCs w:val="24"/>
        </w:rPr>
      </w:pPr>
    </w:p>
    <w:p w14:paraId="5192CA33" w14:textId="77777777" w:rsidR="000E1F2E" w:rsidRDefault="00E1617B" w:rsidP="002C07A8">
      <w:pPr>
        <w:pStyle w:val="Body"/>
        <w:jc w:val="center"/>
        <w:rPr>
          <w:b/>
          <w:bCs/>
          <w:sz w:val="24"/>
          <w:szCs w:val="24"/>
        </w:rPr>
      </w:pPr>
      <w:r>
        <w:rPr>
          <w:b/>
          <w:bCs/>
          <w:sz w:val="24"/>
          <w:szCs w:val="24"/>
        </w:rPr>
        <w:t>Table 1 - Regional Airline Accidents 2003 - 2008</w:t>
      </w:r>
    </w:p>
    <w:p w14:paraId="0763F44D" w14:textId="77777777" w:rsidR="000E1F2E" w:rsidRDefault="00E1617B" w:rsidP="002C07A8">
      <w:pPr>
        <w:pStyle w:val="Body"/>
        <w:jc w:val="center"/>
        <w:rPr>
          <w:sz w:val="24"/>
          <w:szCs w:val="24"/>
        </w:rPr>
      </w:pPr>
      <w:r>
        <w:rPr>
          <w:b/>
          <w:bCs/>
          <w:sz w:val="24"/>
          <w:szCs w:val="24"/>
        </w:rPr>
        <w:t>(Scheduled Passenger Flights)</w:t>
      </w:r>
      <w:r>
        <w:rPr>
          <w:b/>
          <w:bCs/>
          <w:sz w:val="24"/>
          <w:szCs w:val="24"/>
          <w:vertAlign w:val="superscript"/>
        </w:rPr>
        <w:endnoteReference w:id="7"/>
      </w:r>
    </w:p>
    <w:p w14:paraId="209FE56C" w14:textId="77777777" w:rsidR="000E1F2E" w:rsidRDefault="000E1F2E" w:rsidP="002C07A8">
      <w:pPr>
        <w:pStyle w:val="Body"/>
        <w:jc w:val="center"/>
        <w:rPr>
          <w:sz w:val="24"/>
          <w:szCs w:val="24"/>
        </w:rPr>
      </w:pPr>
    </w:p>
    <w:tbl>
      <w:tblPr>
        <w:tblW w:w="9360" w:type="dxa"/>
        <w:jc w:val="center"/>
        <w:shd w:val="clear" w:color="auto" w:fill="BDC0BF"/>
        <w:tblLayout w:type="fixed"/>
        <w:tblLook w:val="04A0" w:firstRow="1" w:lastRow="0" w:firstColumn="1" w:lastColumn="0" w:noHBand="0" w:noVBand="1"/>
      </w:tblPr>
      <w:tblGrid>
        <w:gridCol w:w="1310"/>
        <w:gridCol w:w="1398"/>
        <w:gridCol w:w="1453"/>
        <w:gridCol w:w="1282"/>
        <w:gridCol w:w="1268"/>
        <w:gridCol w:w="1153"/>
        <w:gridCol w:w="1496"/>
      </w:tblGrid>
      <w:tr w:rsidR="000E1F2E" w14:paraId="32072909" w14:textId="77777777">
        <w:trPr>
          <w:trHeight w:val="620"/>
          <w:tblHeader/>
          <w:jc w:val="center"/>
        </w:trPr>
        <w:tc>
          <w:tcPr>
            <w:tcW w:w="1310" w:type="dxa"/>
            <w:shd w:val="clear" w:color="auto" w:fill="auto"/>
            <w:tcMar>
              <w:top w:w="80" w:type="dxa"/>
              <w:left w:w="80" w:type="dxa"/>
              <w:bottom w:w="80" w:type="dxa"/>
              <w:right w:w="80" w:type="dxa"/>
            </w:tcMar>
          </w:tcPr>
          <w:p w14:paraId="31312399" w14:textId="77777777" w:rsidR="000E1F2E" w:rsidRDefault="00E1617B">
            <w:pPr>
              <w:pStyle w:val="TableStyle1"/>
              <w:jc w:val="center"/>
            </w:pPr>
            <w:r>
              <w:rPr>
                <w:rFonts w:ascii="Times New Roman" w:hAnsi="Times New Roman"/>
                <w:i/>
                <w:iCs/>
                <w:sz w:val="24"/>
                <w:szCs w:val="24"/>
              </w:rPr>
              <w:t>Year</w:t>
            </w:r>
          </w:p>
        </w:tc>
        <w:tc>
          <w:tcPr>
            <w:tcW w:w="1398" w:type="dxa"/>
            <w:shd w:val="clear" w:color="auto" w:fill="auto"/>
            <w:tcMar>
              <w:top w:w="80" w:type="dxa"/>
              <w:left w:w="80" w:type="dxa"/>
              <w:bottom w:w="80" w:type="dxa"/>
              <w:right w:w="80" w:type="dxa"/>
            </w:tcMar>
          </w:tcPr>
          <w:p w14:paraId="452F635F" w14:textId="77777777" w:rsidR="000E1F2E" w:rsidRDefault="00E1617B">
            <w:pPr>
              <w:pStyle w:val="TableStyle1"/>
              <w:jc w:val="center"/>
            </w:pPr>
            <w:r>
              <w:rPr>
                <w:rFonts w:ascii="Times New Roman" w:hAnsi="Times New Roman"/>
                <w:i/>
                <w:iCs/>
                <w:sz w:val="24"/>
                <w:szCs w:val="24"/>
              </w:rPr>
              <w:t>Carrier</w:t>
            </w:r>
          </w:p>
        </w:tc>
        <w:tc>
          <w:tcPr>
            <w:tcW w:w="1452" w:type="dxa"/>
            <w:shd w:val="clear" w:color="auto" w:fill="auto"/>
            <w:tcMar>
              <w:top w:w="80" w:type="dxa"/>
              <w:left w:w="80" w:type="dxa"/>
              <w:bottom w:w="80" w:type="dxa"/>
              <w:right w:w="80" w:type="dxa"/>
            </w:tcMar>
          </w:tcPr>
          <w:p w14:paraId="46041598" w14:textId="77777777" w:rsidR="000E1F2E" w:rsidRDefault="00E1617B">
            <w:pPr>
              <w:pStyle w:val="TableStyle1"/>
              <w:jc w:val="center"/>
            </w:pPr>
            <w:r>
              <w:rPr>
                <w:rFonts w:ascii="Times New Roman" w:hAnsi="Times New Roman"/>
                <w:i/>
                <w:iCs/>
                <w:sz w:val="24"/>
                <w:szCs w:val="24"/>
              </w:rPr>
              <w:t>Date</w:t>
            </w:r>
          </w:p>
        </w:tc>
        <w:tc>
          <w:tcPr>
            <w:tcW w:w="1281" w:type="dxa"/>
            <w:shd w:val="clear" w:color="auto" w:fill="auto"/>
            <w:tcMar>
              <w:top w:w="80" w:type="dxa"/>
              <w:left w:w="80" w:type="dxa"/>
              <w:bottom w:w="80" w:type="dxa"/>
              <w:right w:w="80" w:type="dxa"/>
            </w:tcMar>
          </w:tcPr>
          <w:p w14:paraId="25BD3925" w14:textId="77777777" w:rsidR="000E1F2E" w:rsidRDefault="00E1617B">
            <w:pPr>
              <w:pStyle w:val="TableStyle1"/>
              <w:jc w:val="center"/>
            </w:pPr>
            <w:r>
              <w:rPr>
                <w:rFonts w:ascii="Times New Roman" w:hAnsi="Times New Roman"/>
                <w:i/>
                <w:iCs/>
                <w:sz w:val="24"/>
                <w:szCs w:val="24"/>
              </w:rPr>
              <w:t>Flight fatalities</w:t>
            </w:r>
          </w:p>
        </w:tc>
        <w:tc>
          <w:tcPr>
            <w:tcW w:w="1267" w:type="dxa"/>
            <w:shd w:val="clear" w:color="auto" w:fill="auto"/>
            <w:tcMar>
              <w:top w:w="80" w:type="dxa"/>
              <w:left w:w="80" w:type="dxa"/>
              <w:bottom w:w="80" w:type="dxa"/>
              <w:right w:w="80" w:type="dxa"/>
            </w:tcMar>
          </w:tcPr>
          <w:p w14:paraId="6745FA82" w14:textId="77777777" w:rsidR="000E1F2E" w:rsidRDefault="00E1617B">
            <w:pPr>
              <w:pStyle w:val="TableStyle1"/>
              <w:jc w:val="center"/>
            </w:pPr>
            <w:r>
              <w:rPr>
                <w:rFonts w:ascii="Times New Roman" w:hAnsi="Times New Roman"/>
                <w:i/>
                <w:iCs/>
                <w:sz w:val="24"/>
                <w:szCs w:val="24"/>
              </w:rPr>
              <w:t>Ground fatalities</w:t>
            </w:r>
          </w:p>
        </w:tc>
        <w:tc>
          <w:tcPr>
            <w:tcW w:w="1153" w:type="dxa"/>
            <w:shd w:val="clear" w:color="auto" w:fill="auto"/>
            <w:tcMar>
              <w:top w:w="80" w:type="dxa"/>
              <w:left w:w="80" w:type="dxa"/>
              <w:bottom w:w="80" w:type="dxa"/>
              <w:right w:w="80" w:type="dxa"/>
            </w:tcMar>
          </w:tcPr>
          <w:p w14:paraId="02A844AB" w14:textId="77777777" w:rsidR="000E1F2E" w:rsidRDefault="00E1617B">
            <w:pPr>
              <w:pStyle w:val="TableStyle1"/>
              <w:jc w:val="center"/>
            </w:pPr>
            <w:r>
              <w:rPr>
                <w:rFonts w:ascii="Times New Roman" w:hAnsi="Times New Roman"/>
                <w:i/>
                <w:iCs/>
                <w:sz w:val="24"/>
                <w:szCs w:val="24"/>
              </w:rPr>
              <w:t>Crew a factor</w:t>
            </w:r>
          </w:p>
        </w:tc>
        <w:tc>
          <w:tcPr>
            <w:tcW w:w="1495" w:type="dxa"/>
            <w:shd w:val="clear" w:color="auto" w:fill="auto"/>
            <w:tcMar>
              <w:top w:w="80" w:type="dxa"/>
              <w:left w:w="80" w:type="dxa"/>
              <w:bottom w:w="80" w:type="dxa"/>
              <w:right w:w="80" w:type="dxa"/>
            </w:tcMar>
          </w:tcPr>
          <w:p w14:paraId="0C5EF5C4" w14:textId="77777777" w:rsidR="000E1F2E" w:rsidRDefault="00E1617B">
            <w:pPr>
              <w:pStyle w:val="TableStyle1"/>
              <w:jc w:val="center"/>
            </w:pPr>
            <w:r>
              <w:rPr>
                <w:rFonts w:ascii="Times New Roman" w:hAnsi="Times New Roman"/>
                <w:i/>
                <w:iCs/>
                <w:sz w:val="24"/>
                <w:szCs w:val="24"/>
              </w:rPr>
              <w:t>Regional code share</w:t>
            </w:r>
          </w:p>
        </w:tc>
      </w:tr>
      <w:tr w:rsidR="000E1F2E" w14:paraId="1D55E5C4" w14:textId="77777777">
        <w:tblPrEx>
          <w:shd w:val="clear" w:color="auto" w:fill="auto"/>
        </w:tblPrEx>
        <w:trPr>
          <w:trHeight w:val="463"/>
          <w:jc w:val="center"/>
        </w:trPr>
        <w:tc>
          <w:tcPr>
            <w:tcW w:w="1310" w:type="dxa"/>
            <w:shd w:val="clear" w:color="auto" w:fill="auto"/>
            <w:tcMar>
              <w:top w:w="80" w:type="dxa"/>
              <w:left w:w="80" w:type="dxa"/>
              <w:bottom w:w="80" w:type="dxa"/>
              <w:right w:w="80" w:type="dxa"/>
            </w:tcMar>
          </w:tcPr>
          <w:p w14:paraId="57BE1E04" w14:textId="77777777" w:rsidR="000E1F2E" w:rsidRDefault="00E1617B">
            <w:pPr>
              <w:pStyle w:val="TableStyle1"/>
              <w:jc w:val="center"/>
            </w:pPr>
            <w:r>
              <w:rPr>
                <w:rFonts w:ascii="Arial" w:hAnsi="Arial"/>
              </w:rPr>
              <w:t>2003</w:t>
            </w:r>
          </w:p>
        </w:tc>
        <w:tc>
          <w:tcPr>
            <w:tcW w:w="1398" w:type="dxa"/>
            <w:shd w:val="clear" w:color="auto" w:fill="auto"/>
            <w:tcMar>
              <w:top w:w="80" w:type="dxa"/>
              <w:left w:w="80" w:type="dxa"/>
              <w:bottom w:w="80" w:type="dxa"/>
              <w:right w:w="80" w:type="dxa"/>
            </w:tcMar>
          </w:tcPr>
          <w:p w14:paraId="339275A7" w14:textId="77777777" w:rsidR="000E1F2E" w:rsidRDefault="00E1617B">
            <w:pPr>
              <w:pStyle w:val="TableStyle2"/>
              <w:jc w:val="center"/>
            </w:pPr>
            <w:proofErr w:type="spellStart"/>
            <w:r>
              <w:rPr>
                <w:rFonts w:ascii="Arial" w:hAnsi="Arial"/>
              </w:rPr>
              <w:t>Expressjet</w:t>
            </w:r>
            <w:proofErr w:type="spellEnd"/>
            <w:r>
              <w:rPr>
                <w:rFonts w:ascii="Arial" w:hAnsi="Arial"/>
              </w:rPr>
              <w:t xml:space="preserve"> 2051</w:t>
            </w:r>
          </w:p>
        </w:tc>
        <w:tc>
          <w:tcPr>
            <w:tcW w:w="1452" w:type="dxa"/>
            <w:shd w:val="clear" w:color="auto" w:fill="auto"/>
            <w:tcMar>
              <w:top w:w="80" w:type="dxa"/>
              <w:left w:w="80" w:type="dxa"/>
              <w:bottom w:w="80" w:type="dxa"/>
              <w:right w:w="80" w:type="dxa"/>
            </w:tcMar>
          </w:tcPr>
          <w:p w14:paraId="14B862EF" w14:textId="77777777" w:rsidR="000E1F2E" w:rsidRDefault="00E1617B">
            <w:pPr>
              <w:pStyle w:val="TableStyle2"/>
              <w:jc w:val="center"/>
            </w:pPr>
            <w:r>
              <w:rPr>
                <w:rFonts w:ascii="Arial" w:hAnsi="Arial"/>
              </w:rPr>
              <w:t>1/06/2003</w:t>
            </w:r>
          </w:p>
        </w:tc>
        <w:tc>
          <w:tcPr>
            <w:tcW w:w="1281" w:type="dxa"/>
            <w:shd w:val="clear" w:color="auto" w:fill="auto"/>
            <w:tcMar>
              <w:top w:w="80" w:type="dxa"/>
              <w:left w:w="80" w:type="dxa"/>
              <w:bottom w:w="80" w:type="dxa"/>
              <w:right w:w="80" w:type="dxa"/>
            </w:tcMar>
          </w:tcPr>
          <w:p w14:paraId="00B82772" w14:textId="77777777" w:rsidR="000E1F2E" w:rsidRDefault="00E1617B">
            <w:pPr>
              <w:pStyle w:val="TableStyle2"/>
              <w:jc w:val="center"/>
            </w:pPr>
            <w:r>
              <w:rPr>
                <w:rFonts w:ascii="Arial" w:hAnsi="Arial"/>
              </w:rPr>
              <w:t>0</w:t>
            </w:r>
          </w:p>
        </w:tc>
        <w:tc>
          <w:tcPr>
            <w:tcW w:w="1267" w:type="dxa"/>
            <w:shd w:val="clear" w:color="auto" w:fill="auto"/>
            <w:tcMar>
              <w:top w:w="80" w:type="dxa"/>
              <w:left w:w="80" w:type="dxa"/>
              <w:bottom w:w="80" w:type="dxa"/>
              <w:right w:w="80" w:type="dxa"/>
            </w:tcMar>
          </w:tcPr>
          <w:p w14:paraId="33CDF1DE" w14:textId="77777777" w:rsidR="000E1F2E" w:rsidRDefault="00E1617B">
            <w:pPr>
              <w:pStyle w:val="TableStyle2"/>
              <w:jc w:val="center"/>
            </w:pPr>
            <w:r>
              <w:rPr>
                <w:rFonts w:ascii="Arial" w:hAnsi="Arial"/>
              </w:rPr>
              <w:t>0</w:t>
            </w:r>
          </w:p>
        </w:tc>
        <w:tc>
          <w:tcPr>
            <w:tcW w:w="1153" w:type="dxa"/>
            <w:shd w:val="clear" w:color="auto" w:fill="auto"/>
            <w:tcMar>
              <w:top w:w="80" w:type="dxa"/>
              <w:left w:w="80" w:type="dxa"/>
              <w:bottom w:w="80" w:type="dxa"/>
              <w:right w:w="80" w:type="dxa"/>
            </w:tcMar>
          </w:tcPr>
          <w:p w14:paraId="7EC4A6FD" w14:textId="77777777" w:rsidR="000E1F2E" w:rsidRDefault="00E1617B">
            <w:pPr>
              <w:pStyle w:val="TableStyle2"/>
              <w:jc w:val="center"/>
            </w:pPr>
            <w:r>
              <w:rPr>
                <w:rFonts w:ascii="Arial" w:hAnsi="Arial"/>
              </w:rPr>
              <w:t>x</w:t>
            </w:r>
          </w:p>
        </w:tc>
        <w:tc>
          <w:tcPr>
            <w:tcW w:w="1495" w:type="dxa"/>
            <w:shd w:val="clear" w:color="auto" w:fill="auto"/>
            <w:tcMar>
              <w:top w:w="80" w:type="dxa"/>
              <w:left w:w="80" w:type="dxa"/>
              <w:bottom w:w="80" w:type="dxa"/>
              <w:right w:w="80" w:type="dxa"/>
            </w:tcMar>
          </w:tcPr>
          <w:p w14:paraId="59473F58" w14:textId="77777777" w:rsidR="000E1F2E" w:rsidRDefault="00E1617B">
            <w:pPr>
              <w:pStyle w:val="TableStyle2"/>
              <w:jc w:val="center"/>
            </w:pPr>
            <w:r>
              <w:rPr>
                <w:rFonts w:ascii="Arial" w:hAnsi="Arial"/>
              </w:rPr>
              <w:t>x</w:t>
            </w:r>
          </w:p>
        </w:tc>
      </w:tr>
      <w:tr w:rsidR="000E1F2E" w14:paraId="53BDF99C" w14:textId="77777777">
        <w:tblPrEx>
          <w:shd w:val="clear" w:color="auto" w:fill="auto"/>
        </w:tblPrEx>
        <w:trPr>
          <w:trHeight w:val="653"/>
          <w:jc w:val="center"/>
        </w:trPr>
        <w:tc>
          <w:tcPr>
            <w:tcW w:w="1310" w:type="dxa"/>
            <w:shd w:val="clear" w:color="auto" w:fill="auto"/>
            <w:tcMar>
              <w:top w:w="80" w:type="dxa"/>
              <w:left w:w="80" w:type="dxa"/>
              <w:bottom w:w="80" w:type="dxa"/>
              <w:right w:w="80" w:type="dxa"/>
            </w:tcMar>
          </w:tcPr>
          <w:p w14:paraId="035C5F08" w14:textId="77777777" w:rsidR="000E1F2E" w:rsidRDefault="000E1F2E"/>
        </w:tc>
        <w:tc>
          <w:tcPr>
            <w:tcW w:w="1398" w:type="dxa"/>
            <w:shd w:val="clear" w:color="auto" w:fill="auto"/>
            <w:tcMar>
              <w:top w:w="80" w:type="dxa"/>
              <w:left w:w="80" w:type="dxa"/>
              <w:bottom w:w="80" w:type="dxa"/>
              <w:right w:w="80" w:type="dxa"/>
            </w:tcMar>
          </w:tcPr>
          <w:p w14:paraId="09B66CAF" w14:textId="77777777" w:rsidR="000E1F2E" w:rsidRDefault="00E1617B">
            <w:pPr>
              <w:pStyle w:val="TableStyle2"/>
              <w:jc w:val="center"/>
            </w:pPr>
            <w:r>
              <w:rPr>
                <w:rFonts w:ascii="Arial" w:hAnsi="Arial"/>
              </w:rPr>
              <w:t>Air Midwest 5481</w:t>
            </w:r>
          </w:p>
        </w:tc>
        <w:tc>
          <w:tcPr>
            <w:tcW w:w="1452" w:type="dxa"/>
            <w:shd w:val="clear" w:color="auto" w:fill="auto"/>
            <w:tcMar>
              <w:top w:w="80" w:type="dxa"/>
              <w:left w:w="80" w:type="dxa"/>
              <w:bottom w:w="80" w:type="dxa"/>
              <w:right w:w="80" w:type="dxa"/>
            </w:tcMar>
          </w:tcPr>
          <w:p w14:paraId="36742095" w14:textId="77777777" w:rsidR="000E1F2E" w:rsidRDefault="00E1617B">
            <w:pPr>
              <w:pStyle w:val="TableStyle2"/>
              <w:jc w:val="center"/>
            </w:pPr>
            <w:r>
              <w:rPr>
                <w:rFonts w:ascii="Arial" w:hAnsi="Arial"/>
              </w:rPr>
              <w:t>1/08/2003</w:t>
            </w:r>
          </w:p>
        </w:tc>
        <w:tc>
          <w:tcPr>
            <w:tcW w:w="1281" w:type="dxa"/>
            <w:shd w:val="clear" w:color="auto" w:fill="auto"/>
            <w:tcMar>
              <w:top w:w="80" w:type="dxa"/>
              <w:left w:w="80" w:type="dxa"/>
              <w:bottom w:w="80" w:type="dxa"/>
              <w:right w:w="80" w:type="dxa"/>
            </w:tcMar>
          </w:tcPr>
          <w:p w14:paraId="2012D803" w14:textId="77777777" w:rsidR="000E1F2E" w:rsidRDefault="00E1617B">
            <w:pPr>
              <w:pStyle w:val="TableStyle2"/>
              <w:jc w:val="center"/>
            </w:pPr>
            <w:r>
              <w:rPr>
                <w:rFonts w:ascii="Arial" w:hAnsi="Arial"/>
              </w:rPr>
              <w:t>21</w:t>
            </w:r>
          </w:p>
        </w:tc>
        <w:tc>
          <w:tcPr>
            <w:tcW w:w="1267" w:type="dxa"/>
            <w:shd w:val="clear" w:color="auto" w:fill="auto"/>
            <w:tcMar>
              <w:top w:w="80" w:type="dxa"/>
              <w:left w:w="80" w:type="dxa"/>
              <w:bottom w:w="80" w:type="dxa"/>
              <w:right w:w="80" w:type="dxa"/>
            </w:tcMar>
          </w:tcPr>
          <w:p w14:paraId="0DF5A370" w14:textId="77777777" w:rsidR="000E1F2E" w:rsidRDefault="00E1617B">
            <w:pPr>
              <w:pStyle w:val="TableStyle2"/>
              <w:jc w:val="center"/>
            </w:pPr>
            <w:r>
              <w:rPr>
                <w:rFonts w:ascii="Arial" w:hAnsi="Arial"/>
              </w:rPr>
              <w:t>1</w:t>
            </w:r>
          </w:p>
        </w:tc>
        <w:tc>
          <w:tcPr>
            <w:tcW w:w="1153" w:type="dxa"/>
            <w:shd w:val="clear" w:color="auto" w:fill="auto"/>
            <w:tcMar>
              <w:top w:w="80" w:type="dxa"/>
              <w:left w:w="80" w:type="dxa"/>
              <w:bottom w:w="80" w:type="dxa"/>
              <w:right w:w="80" w:type="dxa"/>
            </w:tcMar>
          </w:tcPr>
          <w:p w14:paraId="238BC9F2" w14:textId="77777777" w:rsidR="000E1F2E" w:rsidRDefault="000E1F2E"/>
        </w:tc>
        <w:tc>
          <w:tcPr>
            <w:tcW w:w="1495" w:type="dxa"/>
            <w:shd w:val="clear" w:color="auto" w:fill="auto"/>
            <w:tcMar>
              <w:top w:w="80" w:type="dxa"/>
              <w:left w:w="80" w:type="dxa"/>
              <w:bottom w:w="80" w:type="dxa"/>
              <w:right w:w="80" w:type="dxa"/>
            </w:tcMar>
          </w:tcPr>
          <w:p w14:paraId="44CEFC9D" w14:textId="77777777" w:rsidR="000E1F2E" w:rsidRDefault="00E1617B">
            <w:pPr>
              <w:pStyle w:val="TableStyle2"/>
              <w:jc w:val="center"/>
            </w:pPr>
            <w:r>
              <w:rPr>
                <w:rFonts w:ascii="Arial" w:hAnsi="Arial"/>
              </w:rPr>
              <w:t>x</w:t>
            </w:r>
          </w:p>
        </w:tc>
      </w:tr>
      <w:tr w:rsidR="000E1F2E" w14:paraId="7FEA5714" w14:textId="77777777">
        <w:tblPrEx>
          <w:shd w:val="clear" w:color="auto" w:fill="auto"/>
        </w:tblPrEx>
        <w:trPr>
          <w:trHeight w:val="653"/>
          <w:jc w:val="center"/>
        </w:trPr>
        <w:tc>
          <w:tcPr>
            <w:tcW w:w="1310" w:type="dxa"/>
            <w:shd w:val="clear" w:color="auto" w:fill="auto"/>
            <w:tcMar>
              <w:top w:w="80" w:type="dxa"/>
              <w:left w:w="80" w:type="dxa"/>
              <w:bottom w:w="80" w:type="dxa"/>
              <w:right w:w="80" w:type="dxa"/>
            </w:tcMar>
          </w:tcPr>
          <w:p w14:paraId="3A1DC910" w14:textId="77777777" w:rsidR="000E1F2E" w:rsidRDefault="000E1F2E"/>
        </w:tc>
        <w:tc>
          <w:tcPr>
            <w:tcW w:w="1398" w:type="dxa"/>
            <w:shd w:val="clear" w:color="auto" w:fill="auto"/>
            <w:tcMar>
              <w:top w:w="80" w:type="dxa"/>
              <w:left w:w="80" w:type="dxa"/>
              <w:bottom w:w="80" w:type="dxa"/>
              <w:right w:w="80" w:type="dxa"/>
            </w:tcMar>
          </w:tcPr>
          <w:p w14:paraId="23B73A2A" w14:textId="77777777" w:rsidR="000E1F2E" w:rsidRDefault="00E1617B">
            <w:pPr>
              <w:pStyle w:val="TableStyle2"/>
              <w:jc w:val="center"/>
            </w:pPr>
            <w:r>
              <w:rPr>
                <w:rFonts w:ascii="Arial" w:hAnsi="Arial"/>
              </w:rPr>
              <w:t>Air Sunshine 527</w:t>
            </w:r>
          </w:p>
        </w:tc>
        <w:tc>
          <w:tcPr>
            <w:tcW w:w="1452" w:type="dxa"/>
            <w:shd w:val="clear" w:color="auto" w:fill="auto"/>
            <w:tcMar>
              <w:top w:w="80" w:type="dxa"/>
              <w:left w:w="80" w:type="dxa"/>
              <w:bottom w:w="80" w:type="dxa"/>
              <w:right w:w="80" w:type="dxa"/>
            </w:tcMar>
          </w:tcPr>
          <w:p w14:paraId="473F1E72" w14:textId="77777777" w:rsidR="000E1F2E" w:rsidRDefault="00E1617B">
            <w:pPr>
              <w:pStyle w:val="TableStyle2"/>
              <w:jc w:val="center"/>
            </w:pPr>
            <w:r>
              <w:rPr>
                <w:rFonts w:ascii="Arial" w:hAnsi="Arial"/>
              </w:rPr>
              <w:t>7/13/2003</w:t>
            </w:r>
          </w:p>
        </w:tc>
        <w:tc>
          <w:tcPr>
            <w:tcW w:w="1281" w:type="dxa"/>
            <w:shd w:val="clear" w:color="auto" w:fill="auto"/>
            <w:tcMar>
              <w:top w:w="80" w:type="dxa"/>
              <w:left w:w="80" w:type="dxa"/>
              <w:bottom w:w="80" w:type="dxa"/>
              <w:right w:w="80" w:type="dxa"/>
            </w:tcMar>
          </w:tcPr>
          <w:p w14:paraId="5B7FD64D" w14:textId="77777777" w:rsidR="000E1F2E" w:rsidRDefault="00E1617B">
            <w:pPr>
              <w:pStyle w:val="TableStyle2"/>
              <w:jc w:val="center"/>
            </w:pPr>
            <w:r>
              <w:rPr>
                <w:rFonts w:ascii="Arial" w:hAnsi="Arial"/>
              </w:rPr>
              <w:t>2</w:t>
            </w:r>
          </w:p>
        </w:tc>
        <w:tc>
          <w:tcPr>
            <w:tcW w:w="1267" w:type="dxa"/>
            <w:shd w:val="clear" w:color="auto" w:fill="auto"/>
            <w:tcMar>
              <w:top w:w="80" w:type="dxa"/>
              <w:left w:w="80" w:type="dxa"/>
              <w:bottom w:w="80" w:type="dxa"/>
              <w:right w:w="80" w:type="dxa"/>
            </w:tcMar>
          </w:tcPr>
          <w:p w14:paraId="524D2E79" w14:textId="77777777" w:rsidR="000E1F2E" w:rsidRDefault="00E1617B">
            <w:pPr>
              <w:pStyle w:val="TableStyle2"/>
              <w:jc w:val="center"/>
            </w:pPr>
            <w:r>
              <w:rPr>
                <w:rFonts w:ascii="Arial" w:hAnsi="Arial"/>
              </w:rPr>
              <w:t>0</w:t>
            </w:r>
          </w:p>
        </w:tc>
        <w:tc>
          <w:tcPr>
            <w:tcW w:w="1153" w:type="dxa"/>
            <w:shd w:val="clear" w:color="auto" w:fill="auto"/>
            <w:tcMar>
              <w:top w:w="80" w:type="dxa"/>
              <w:left w:w="80" w:type="dxa"/>
              <w:bottom w:w="80" w:type="dxa"/>
              <w:right w:w="80" w:type="dxa"/>
            </w:tcMar>
          </w:tcPr>
          <w:p w14:paraId="75FCC460" w14:textId="77777777" w:rsidR="000E1F2E" w:rsidRDefault="00E1617B">
            <w:pPr>
              <w:pStyle w:val="TableStyle2"/>
              <w:jc w:val="center"/>
            </w:pPr>
            <w:r>
              <w:rPr>
                <w:rFonts w:ascii="Arial" w:hAnsi="Arial"/>
              </w:rPr>
              <w:t>x</w:t>
            </w:r>
          </w:p>
        </w:tc>
        <w:tc>
          <w:tcPr>
            <w:tcW w:w="1495" w:type="dxa"/>
            <w:shd w:val="clear" w:color="auto" w:fill="auto"/>
            <w:tcMar>
              <w:top w:w="80" w:type="dxa"/>
              <w:left w:w="80" w:type="dxa"/>
              <w:bottom w:w="80" w:type="dxa"/>
              <w:right w:w="80" w:type="dxa"/>
            </w:tcMar>
          </w:tcPr>
          <w:p w14:paraId="7D0690B4" w14:textId="77777777" w:rsidR="000E1F2E" w:rsidRDefault="000E1F2E"/>
        </w:tc>
      </w:tr>
      <w:tr w:rsidR="000E1F2E" w14:paraId="73C94DB4" w14:textId="77777777">
        <w:tblPrEx>
          <w:shd w:val="clear" w:color="auto" w:fill="auto"/>
        </w:tblPrEx>
        <w:trPr>
          <w:trHeight w:val="433"/>
          <w:jc w:val="center"/>
        </w:trPr>
        <w:tc>
          <w:tcPr>
            <w:tcW w:w="1310" w:type="dxa"/>
            <w:shd w:val="clear" w:color="auto" w:fill="auto"/>
            <w:tcMar>
              <w:top w:w="80" w:type="dxa"/>
              <w:left w:w="80" w:type="dxa"/>
              <w:bottom w:w="80" w:type="dxa"/>
              <w:right w:w="80" w:type="dxa"/>
            </w:tcMar>
          </w:tcPr>
          <w:p w14:paraId="5C1B86AF" w14:textId="77777777" w:rsidR="000E1F2E" w:rsidRDefault="00E1617B">
            <w:pPr>
              <w:pStyle w:val="TableStyle1"/>
              <w:jc w:val="center"/>
            </w:pPr>
            <w:r>
              <w:rPr>
                <w:rFonts w:ascii="Arial" w:hAnsi="Arial"/>
              </w:rPr>
              <w:t>2004</w:t>
            </w:r>
          </w:p>
        </w:tc>
        <w:tc>
          <w:tcPr>
            <w:tcW w:w="1398" w:type="dxa"/>
            <w:shd w:val="clear" w:color="auto" w:fill="auto"/>
            <w:tcMar>
              <w:top w:w="80" w:type="dxa"/>
              <w:left w:w="80" w:type="dxa"/>
              <w:bottom w:w="80" w:type="dxa"/>
              <w:right w:w="80" w:type="dxa"/>
            </w:tcMar>
          </w:tcPr>
          <w:p w14:paraId="270AE17C" w14:textId="77777777" w:rsidR="000E1F2E" w:rsidRDefault="00E1617B">
            <w:pPr>
              <w:pStyle w:val="TableStyle2"/>
              <w:jc w:val="center"/>
            </w:pPr>
            <w:r>
              <w:rPr>
                <w:rFonts w:ascii="Arial" w:hAnsi="Arial"/>
              </w:rPr>
              <w:t>Corporate 5966</w:t>
            </w:r>
          </w:p>
        </w:tc>
        <w:tc>
          <w:tcPr>
            <w:tcW w:w="1452" w:type="dxa"/>
            <w:shd w:val="clear" w:color="auto" w:fill="auto"/>
            <w:tcMar>
              <w:top w:w="80" w:type="dxa"/>
              <w:left w:w="80" w:type="dxa"/>
              <w:bottom w:w="80" w:type="dxa"/>
              <w:right w:w="80" w:type="dxa"/>
            </w:tcMar>
          </w:tcPr>
          <w:p w14:paraId="677919D3" w14:textId="77777777" w:rsidR="000E1F2E" w:rsidRDefault="00E1617B">
            <w:pPr>
              <w:pStyle w:val="TableStyle2"/>
              <w:jc w:val="center"/>
            </w:pPr>
            <w:r>
              <w:rPr>
                <w:rFonts w:ascii="Arial" w:hAnsi="Arial"/>
              </w:rPr>
              <w:t>10/19/2004</w:t>
            </w:r>
          </w:p>
        </w:tc>
        <w:tc>
          <w:tcPr>
            <w:tcW w:w="1281" w:type="dxa"/>
            <w:shd w:val="clear" w:color="auto" w:fill="auto"/>
            <w:tcMar>
              <w:top w:w="80" w:type="dxa"/>
              <w:left w:w="80" w:type="dxa"/>
              <w:bottom w:w="80" w:type="dxa"/>
              <w:right w:w="80" w:type="dxa"/>
            </w:tcMar>
          </w:tcPr>
          <w:p w14:paraId="2BE0B44E" w14:textId="77777777" w:rsidR="000E1F2E" w:rsidRDefault="00E1617B">
            <w:pPr>
              <w:pStyle w:val="TableStyle2"/>
              <w:jc w:val="center"/>
            </w:pPr>
            <w:r>
              <w:rPr>
                <w:rFonts w:ascii="Arial" w:hAnsi="Arial"/>
              </w:rPr>
              <w:t>13</w:t>
            </w:r>
          </w:p>
        </w:tc>
        <w:tc>
          <w:tcPr>
            <w:tcW w:w="1267" w:type="dxa"/>
            <w:shd w:val="clear" w:color="auto" w:fill="auto"/>
            <w:tcMar>
              <w:top w:w="80" w:type="dxa"/>
              <w:left w:w="80" w:type="dxa"/>
              <w:bottom w:w="80" w:type="dxa"/>
              <w:right w:w="80" w:type="dxa"/>
            </w:tcMar>
          </w:tcPr>
          <w:p w14:paraId="6671E974" w14:textId="77777777" w:rsidR="000E1F2E" w:rsidRDefault="00E1617B">
            <w:pPr>
              <w:pStyle w:val="TableStyle2"/>
              <w:jc w:val="center"/>
            </w:pPr>
            <w:r>
              <w:rPr>
                <w:rFonts w:ascii="Arial" w:hAnsi="Arial"/>
              </w:rPr>
              <w:t>0</w:t>
            </w:r>
          </w:p>
        </w:tc>
        <w:tc>
          <w:tcPr>
            <w:tcW w:w="1153" w:type="dxa"/>
            <w:shd w:val="clear" w:color="auto" w:fill="auto"/>
            <w:tcMar>
              <w:top w:w="80" w:type="dxa"/>
              <w:left w:w="80" w:type="dxa"/>
              <w:bottom w:w="80" w:type="dxa"/>
              <w:right w:w="80" w:type="dxa"/>
            </w:tcMar>
          </w:tcPr>
          <w:p w14:paraId="3B15EE2B" w14:textId="77777777" w:rsidR="000E1F2E" w:rsidRDefault="00E1617B">
            <w:pPr>
              <w:pStyle w:val="TableStyle2"/>
              <w:jc w:val="center"/>
            </w:pPr>
            <w:r>
              <w:rPr>
                <w:rFonts w:ascii="Arial" w:hAnsi="Arial"/>
              </w:rPr>
              <w:t>x</w:t>
            </w:r>
          </w:p>
        </w:tc>
        <w:tc>
          <w:tcPr>
            <w:tcW w:w="1495" w:type="dxa"/>
            <w:shd w:val="clear" w:color="auto" w:fill="auto"/>
            <w:tcMar>
              <w:top w:w="80" w:type="dxa"/>
              <w:left w:w="80" w:type="dxa"/>
              <w:bottom w:w="80" w:type="dxa"/>
              <w:right w:w="80" w:type="dxa"/>
            </w:tcMar>
          </w:tcPr>
          <w:p w14:paraId="535EB818" w14:textId="77777777" w:rsidR="000E1F2E" w:rsidRDefault="00E1617B">
            <w:pPr>
              <w:pStyle w:val="TableStyle2"/>
              <w:jc w:val="center"/>
            </w:pPr>
            <w:r>
              <w:rPr>
                <w:rFonts w:ascii="Arial" w:hAnsi="Arial"/>
              </w:rPr>
              <w:t>x</w:t>
            </w:r>
          </w:p>
        </w:tc>
      </w:tr>
      <w:tr w:rsidR="000E1F2E" w14:paraId="528003DE" w14:textId="77777777">
        <w:tblPrEx>
          <w:shd w:val="clear" w:color="auto" w:fill="auto"/>
        </w:tblPrEx>
        <w:trPr>
          <w:trHeight w:val="433"/>
          <w:jc w:val="center"/>
        </w:trPr>
        <w:tc>
          <w:tcPr>
            <w:tcW w:w="1310" w:type="dxa"/>
            <w:shd w:val="clear" w:color="auto" w:fill="auto"/>
            <w:tcMar>
              <w:top w:w="80" w:type="dxa"/>
              <w:left w:w="80" w:type="dxa"/>
              <w:bottom w:w="80" w:type="dxa"/>
              <w:right w:w="80" w:type="dxa"/>
            </w:tcMar>
          </w:tcPr>
          <w:p w14:paraId="0CB6DC31" w14:textId="77777777" w:rsidR="000E1F2E" w:rsidRDefault="000E1F2E"/>
        </w:tc>
        <w:tc>
          <w:tcPr>
            <w:tcW w:w="1398" w:type="dxa"/>
            <w:shd w:val="clear" w:color="auto" w:fill="auto"/>
            <w:tcMar>
              <w:top w:w="80" w:type="dxa"/>
              <w:left w:w="80" w:type="dxa"/>
              <w:bottom w:w="80" w:type="dxa"/>
              <w:right w:w="80" w:type="dxa"/>
            </w:tcMar>
          </w:tcPr>
          <w:p w14:paraId="5E2A098F" w14:textId="77777777" w:rsidR="000E1F2E" w:rsidRDefault="00E1617B">
            <w:pPr>
              <w:pStyle w:val="TableStyle2"/>
              <w:jc w:val="center"/>
            </w:pPr>
            <w:r>
              <w:rPr>
                <w:rFonts w:ascii="Arial" w:hAnsi="Arial"/>
              </w:rPr>
              <w:t>Pinnacle 3701</w:t>
            </w:r>
          </w:p>
        </w:tc>
        <w:tc>
          <w:tcPr>
            <w:tcW w:w="1452" w:type="dxa"/>
            <w:shd w:val="clear" w:color="auto" w:fill="auto"/>
            <w:tcMar>
              <w:top w:w="80" w:type="dxa"/>
              <w:left w:w="80" w:type="dxa"/>
              <w:bottom w:w="80" w:type="dxa"/>
              <w:right w:w="80" w:type="dxa"/>
            </w:tcMar>
          </w:tcPr>
          <w:p w14:paraId="0DBD90EA" w14:textId="77777777" w:rsidR="000E1F2E" w:rsidRDefault="00E1617B">
            <w:pPr>
              <w:pStyle w:val="TableStyle2"/>
              <w:jc w:val="center"/>
            </w:pPr>
            <w:r>
              <w:rPr>
                <w:rFonts w:ascii="Arial" w:hAnsi="Arial"/>
              </w:rPr>
              <w:t>10/14/2004</w:t>
            </w:r>
          </w:p>
        </w:tc>
        <w:tc>
          <w:tcPr>
            <w:tcW w:w="1281" w:type="dxa"/>
            <w:shd w:val="clear" w:color="auto" w:fill="auto"/>
            <w:tcMar>
              <w:top w:w="80" w:type="dxa"/>
              <w:left w:w="80" w:type="dxa"/>
              <w:bottom w:w="80" w:type="dxa"/>
              <w:right w:w="80" w:type="dxa"/>
            </w:tcMar>
          </w:tcPr>
          <w:p w14:paraId="3C6D0BF1" w14:textId="77777777" w:rsidR="000E1F2E" w:rsidRDefault="00E1617B">
            <w:pPr>
              <w:pStyle w:val="TableStyle2"/>
              <w:jc w:val="center"/>
            </w:pPr>
            <w:r>
              <w:rPr>
                <w:rFonts w:ascii="Arial" w:hAnsi="Arial"/>
              </w:rPr>
              <w:t>2</w:t>
            </w:r>
          </w:p>
        </w:tc>
        <w:tc>
          <w:tcPr>
            <w:tcW w:w="1267" w:type="dxa"/>
            <w:shd w:val="clear" w:color="auto" w:fill="auto"/>
            <w:tcMar>
              <w:top w:w="80" w:type="dxa"/>
              <w:left w:w="80" w:type="dxa"/>
              <w:bottom w:w="80" w:type="dxa"/>
              <w:right w:w="80" w:type="dxa"/>
            </w:tcMar>
          </w:tcPr>
          <w:p w14:paraId="3E6FF976" w14:textId="77777777" w:rsidR="000E1F2E" w:rsidRDefault="00E1617B">
            <w:pPr>
              <w:pStyle w:val="TableStyle2"/>
              <w:jc w:val="center"/>
            </w:pPr>
            <w:r>
              <w:rPr>
                <w:rFonts w:ascii="Arial" w:hAnsi="Arial"/>
              </w:rPr>
              <w:t>0</w:t>
            </w:r>
          </w:p>
        </w:tc>
        <w:tc>
          <w:tcPr>
            <w:tcW w:w="1153" w:type="dxa"/>
            <w:shd w:val="clear" w:color="auto" w:fill="auto"/>
            <w:tcMar>
              <w:top w:w="80" w:type="dxa"/>
              <w:left w:w="80" w:type="dxa"/>
              <w:bottom w:w="80" w:type="dxa"/>
              <w:right w:w="80" w:type="dxa"/>
            </w:tcMar>
          </w:tcPr>
          <w:p w14:paraId="68C206B2" w14:textId="77777777" w:rsidR="000E1F2E" w:rsidRDefault="00E1617B">
            <w:pPr>
              <w:pStyle w:val="TableStyle2"/>
              <w:jc w:val="center"/>
            </w:pPr>
            <w:r>
              <w:rPr>
                <w:rFonts w:ascii="Arial" w:hAnsi="Arial"/>
              </w:rPr>
              <w:t>x</w:t>
            </w:r>
          </w:p>
        </w:tc>
        <w:tc>
          <w:tcPr>
            <w:tcW w:w="1495" w:type="dxa"/>
            <w:shd w:val="clear" w:color="auto" w:fill="auto"/>
            <w:tcMar>
              <w:top w:w="80" w:type="dxa"/>
              <w:left w:w="80" w:type="dxa"/>
              <w:bottom w:w="80" w:type="dxa"/>
              <w:right w:w="80" w:type="dxa"/>
            </w:tcMar>
          </w:tcPr>
          <w:p w14:paraId="7687CAE7" w14:textId="77777777" w:rsidR="000E1F2E" w:rsidRDefault="00E1617B">
            <w:pPr>
              <w:pStyle w:val="TableStyle2"/>
              <w:jc w:val="center"/>
            </w:pPr>
            <w:r>
              <w:rPr>
                <w:rFonts w:ascii="Arial" w:hAnsi="Arial"/>
              </w:rPr>
              <w:t>x</w:t>
            </w:r>
          </w:p>
        </w:tc>
      </w:tr>
      <w:tr w:rsidR="000E1F2E" w14:paraId="29A08EBD" w14:textId="77777777">
        <w:tblPrEx>
          <w:shd w:val="clear" w:color="auto" w:fill="auto"/>
        </w:tblPrEx>
        <w:trPr>
          <w:trHeight w:val="433"/>
          <w:jc w:val="center"/>
        </w:trPr>
        <w:tc>
          <w:tcPr>
            <w:tcW w:w="1310" w:type="dxa"/>
            <w:shd w:val="clear" w:color="auto" w:fill="auto"/>
            <w:tcMar>
              <w:top w:w="80" w:type="dxa"/>
              <w:left w:w="80" w:type="dxa"/>
              <w:bottom w:w="80" w:type="dxa"/>
              <w:right w:w="80" w:type="dxa"/>
            </w:tcMar>
          </w:tcPr>
          <w:p w14:paraId="1421308C" w14:textId="77777777" w:rsidR="000E1F2E" w:rsidRDefault="00E1617B">
            <w:pPr>
              <w:pStyle w:val="TableStyle1"/>
              <w:jc w:val="center"/>
            </w:pPr>
            <w:r>
              <w:rPr>
                <w:rFonts w:ascii="Arial" w:hAnsi="Arial"/>
              </w:rPr>
              <w:t>2006</w:t>
            </w:r>
          </w:p>
        </w:tc>
        <w:tc>
          <w:tcPr>
            <w:tcW w:w="1398" w:type="dxa"/>
            <w:shd w:val="clear" w:color="auto" w:fill="auto"/>
            <w:tcMar>
              <w:top w:w="80" w:type="dxa"/>
              <w:left w:w="80" w:type="dxa"/>
              <w:bottom w:w="80" w:type="dxa"/>
              <w:right w:w="80" w:type="dxa"/>
            </w:tcMar>
          </w:tcPr>
          <w:p w14:paraId="5850169E" w14:textId="77777777" w:rsidR="000E1F2E" w:rsidRDefault="00E1617B">
            <w:pPr>
              <w:pStyle w:val="TableStyle2"/>
              <w:jc w:val="center"/>
            </w:pPr>
            <w:r>
              <w:rPr>
                <w:rFonts w:ascii="Arial" w:hAnsi="Arial"/>
              </w:rPr>
              <w:t>Comair 5191</w:t>
            </w:r>
          </w:p>
        </w:tc>
        <w:tc>
          <w:tcPr>
            <w:tcW w:w="1452" w:type="dxa"/>
            <w:shd w:val="clear" w:color="auto" w:fill="auto"/>
            <w:tcMar>
              <w:top w:w="80" w:type="dxa"/>
              <w:left w:w="80" w:type="dxa"/>
              <w:bottom w:w="80" w:type="dxa"/>
              <w:right w:w="80" w:type="dxa"/>
            </w:tcMar>
          </w:tcPr>
          <w:p w14:paraId="1380883D" w14:textId="77777777" w:rsidR="000E1F2E" w:rsidRDefault="00E1617B">
            <w:pPr>
              <w:pStyle w:val="TableStyle2"/>
              <w:jc w:val="center"/>
            </w:pPr>
            <w:r>
              <w:rPr>
                <w:rFonts w:ascii="Arial" w:hAnsi="Arial"/>
              </w:rPr>
              <w:t>8/27/2006</w:t>
            </w:r>
          </w:p>
        </w:tc>
        <w:tc>
          <w:tcPr>
            <w:tcW w:w="1281" w:type="dxa"/>
            <w:shd w:val="clear" w:color="auto" w:fill="auto"/>
            <w:tcMar>
              <w:top w:w="80" w:type="dxa"/>
              <w:left w:w="80" w:type="dxa"/>
              <w:bottom w:w="80" w:type="dxa"/>
              <w:right w:w="80" w:type="dxa"/>
            </w:tcMar>
          </w:tcPr>
          <w:p w14:paraId="44F741A9" w14:textId="77777777" w:rsidR="000E1F2E" w:rsidRDefault="00E1617B">
            <w:pPr>
              <w:pStyle w:val="TableStyle2"/>
              <w:jc w:val="center"/>
            </w:pPr>
            <w:r>
              <w:rPr>
                <w:rFonts w:ascii="Arial" w:hAnsi="Arial"/>
              </w:rPr>
              <w:t>49</w:t>
            </w:r>
          </w:p>
        </w:tc>
        <w:tc>
          <w:tcPr>
            <w:tcW w:w="1267" w:type="dxa"/>
            <w:shd w:val="clear" w:color="auto" w:fill="auto"/>
            <w:tcMar>
              <w:top w:w="80" w:type="dxa"/>
              <w:left w:w="80" w:type="dxa"/>
              <w:bottom w:w="80" w:type="dxa"/>
              <w:right w:w="80" w:type="dxa"/>
            </w:tcMar>
          </w:tcPr>
          <w:p w14:paraId="5C9EBE65" w14:textId="77777777" w:rsidR="000E1F2E" w:rsidRDefault="00E1617B">
            <w:pPr>
              <w:pStyle w:val="TableStyle2"/>
              <w:jc w:val="center"/>
            </w:pPr>
            <w:r>
              <w:rPr>
                <w:rFonts w:ascii="Arial" w:hAnsi="Arial"/>
              </w:rPr>
              <w:t>0</w:t>
            </w:r>
          </w:p>
        </w:tc>
        <w:tc>
          <w:tcPr>
            <w:tcW w:w="1153" w:type="dxa"/>
            <w:shd w:val="clear" w:color="auto" w:fill="auto"/>
            <w:tcMar>
              <w:top w:w="80" w:type="dxa"/>
              <w:left w:w="80" w:type="dxa"/>
              <w:bottom w:w="80" w:type="dxa"/>
              <w:right w:w="80" w:type="dxa"/>
            </w:tcMar>
          </w:tcPr>
          <w:p w14:paraId="50FB05E7" w14:textId="77777777" w:rsidR="000E1F2E" w:rsidRDefault="00E1617B">
            <w:pPr>
              <w:pStyle w:val="TableStyle2"/>
              <w:jc w:val="center"/>
            </w:pPr>
            <w:r>
              <w:rPr>
                <w:rFonts w:ascii="Arial" w:hAnsi="Arial"/>
              </w:rPr>
              <w:t>x</w:t>
            </w:r>
          </w:p>
        </w:tc>
        <w:tc>
          <w:tcPr>
            <w:tcW w:w="1495" w:type="dxa"/>
            <w:shd w:val="clear" w:color="auto" w:fill="auto"/>
            <w:tcMar>
              <w:top w:w="80" w:type="dxa"/>
              <w:left w:w="80" w:type="dxa"/>
              <w:bottom w:w="80" w:type="dxa"/>
              <w:right w:w="80" w:type="dxa"/>
            </w:tcMar>
          </w:tcPr>
          <w:p w14:paraId="491E4742" w14:textId="77777777" w:rsidR="000E1F2E" w:rsidRDefault="00E1617B">
            <w:pPr>
              <w:pStyle w:val="TableStyle2"/>
              <w:jc w:val="center"/>
            </w:pPr>
            <w:r>
              <w:rPr>
                <w:rFonts w:ascii="Arial" w:hAnsi="Arial"/>
              </w:rPr>
              <w:t>x</w:t>
            </w:r>
          </w:p>
        </w:tc>
      </w:tr>
      <w:tr w:rsidR="000E1F2E" w14:paraId="73C511E4" w14:textId="77777777">
        <w:tblPrEx>
          <w:shd w:val="clear" w:color="auto" w:fill="auto"/>
        </w:tblPrEx>
        <w:trPr>
          <w:trHeight w:val="433"/>
          <w:jc w:val="center"/>
        </w:trPr>
        <w:tc>
          <w:tcPr>
            <w:tcW w:w="1310" w:type="dxa"/>
            <w:shd w:val="clear" w:color="auto" w:fill="auto"/>
            <w:tcMar>
              <w:top w:w="80" w:type="dxa"/>
              <w:left w:w="80" w:type="dxa"/>
              <w:bottom w:w="80" w:type="dxa"/>
              <w:right w:w="80" w:type="dxa"/>
            </w:tcMar>
          </w:tcPr>
          <w:p w14:paraId="0F90A162" w14:textId="77777777" w:rsidR="000E1F2E" w:rsidRDefault="000E1F2E"/>
        </w:tc>
        <w:tc>
          <w:tcPr>
            <w:tcW w:w="1398" w:type="dxa"/>
            <w:shd w:val="clear" w:color="auto" w:fill="auto"/>
            <w:tcMar>
              <w:top w:w="80" w:type="dxa"/>
              <w:left w:w="80" w:type="dxa"/>
              <w:bottom w:w="80" w:type="dxa"/>
              <w:right w:w="80" w:type="dxa"/>
            </w:tcMar>
          </w:tcPr>
          <w:p w14:paraId="3A8BF356" w14:textId="77777777" w:rsidR="000E1F2E" w:rsidRDefault="00E1617B">
            <w:pPr>
              <w:pStyle w:val="TableStyle2"/>
              <w:jc w:val="center"/>
            </w:pPr>
            <w:r>
              <w:rPr>
                <w:rFonts w:ascii="Arial" w:hAnsi="Arial"/>
              </w:rPr>
              <w:t>Peninsula 842</w:t>
            </w:r>
          </w:p>
        </w:tc>
        <w:tc>
          <w:tcPr>
            <w:tcW w:w="1452" w:type="dxa"/>
            <w:shd w:val="clear" w:color="auto" w:fill="auto"/>
            <w:tcMar>
              <w:top w:w="80" w:type="dxa"/>
              <w:left w:w="80" w:type="dxa"/>
              <w:bottom w:w="80" w:type="dxa"/>
              <w:right w:w="80" w:type="dxa"/>
            </w:tcMar>
          </w:tcPr>
          <w:p w14:paraId="2602EFB4" w14:textId="77777777" w:rsidR="000E1F2E" w:rsidRDefault="00E1617B">
            <w:pPr>
              <w:pStyle w:val="TableStyle2"/>
              <w:jc w:val="center"/>
            </w:pPr>
            <w:r>
              <w:rPr>
                <w:rFonts w:ascii="Arial" w:hAnsi="Arial"/>
              </w:rPr>
              <w:t>12/14/2006</w:t>
            </w:r>
          </w:p>
        </w:tc>
        <w:tc>
          <w:tcPr>
            <w:tcW w:w="1281" w:type="dxa"/>
            <w:shd w:val="clear" w:color="auto" w:fill="auto"/>
            <w:tcMar>
              <w:top w:w="80" w:type="dxa"/>
              <w:left w:w="80" w:type="dxa"/>
              <w:bottom w:w="80" w:type="dxa"/>
              <w:right w:w="80" w:type="dxa"/>
            </w:tcMar>
          </w:tcPr>
          <w:p w14:paraId="59B28E7A" w14:textId="77777777" w:rsidR="000E1F2E" w:rsidRDefault="00E1617B">
            <w:pPr>
              <w:pStyle w:val="TableStyle2"/>
              <w:jc w:val="center"/>
            </w:pPr>
            <w:r>
              <w:rPr>
                <w:rFonts w:ascii="Arial" w:hAnsi="Arial"/>
              </w:rPr>
              <w:t>2</w:t>
            </w:r>
          </w:p>
        </w:tc>
        <w:tc>
          <w:tcPr>
            <w:tcW w:w="1267" w:type="dxa"/>
            <w:shd w:val="clear" w:color="auto" w:fill="auto"/>
            <w:tcMar>
              <w:top w:w="80" w:type="dxa"/>
              <w:left w:w="80" w:type="dxa"/>
              <w:bottom w:w="80" w:type="dxa"/>
              <w:right w:w="80" w:type="dxa"/>
            </w:tcMar>
          </w:tcPr>
          <w:p w14:paraId="3210C01A" w14:textId="77777777" w:rsidR="000E1F2E" w:rsidRDefault="00E1617B">
            <w:pPr>
              <w:pStyle w:val="TableStyle2"/>
              <w:jc w:val="center"/>
            </w:pPr>
            <w:r>
              <w:rPr>
                <w:rFonts w:ascii="Arial" w:hAnsi="Arial"/>
              </w:rPr>
              <w:t>0</w:t>
            </w:r>
          </w:p>
        </w:tc>
        <w:tc>
          <w:tcPr>
            <w:tcW w:w="1153" w:type="dxa"/>
            <w:shd w:val="clear" w:color="auto" w:fill="auto"/>
            <w:tcMar>
              <w:top w:w="80" w:type="dxa"/>
              <w:left w:w="80" w:type="dxa"/>
              <w:bottom w:w="80" w:type="dxa"/>
              <w:right w:w="80" w:type="dxa"/>
            </w:tcMar>
          </w:tcPr>
          <w:p w14:paraId="47A680DC" w14:textId="77777777" w:rsidR="000E1F2E" w:rsidRDefault="00E1617B">
            <w:pPr>
              <w:pStyle w:val="TableStyle2"/>
              <w:jc w:val="center"/>
            </w:pPr>
            <w:r>
              <w:rPr>
                <w:rFonts w:ascii="Arial" w:hAnsi="Arial"/>
              </w:rPr>
              <w:t>x</w:t>
            </w:r>
          </w:p>
        </w:tc>
        <w:tc>
          <w:tcPr>
            <w:tcW w:w="1495" w:type="dxa"/>
            <w:shd w:val="clear" w:color="auto" w:fill="auto"/>
            <w:tcMar>
              <w:top w:w="80" w:type="dxa"/>
              <w:left w:w="80" w:type="dxa"/>
              <w:bottom w:w="80" w:type="dxa"/>
              <w:right w:w="80" w:type="dxa"/>
            </w:tcMar>
          </w:tcPr>
          <w:p w14:paraId="59AA4279" w14:textId="77777777" w:rsidR="000E1F2E" w:rsidRDefault="000E1F2E"/>
        </w:tc>
      </w:tr>
      <w:tr w:rsidR="000E1F2E" w14:paraId="42AF2844" w14:textId="77777777">
        <w:tblPrEx>
          <w:shd w:val="clear" w:color="auto" w:fill="auto"/>
        </w:tblPrEx>
        <w:trPr>
          <w:trHeight w:val="433"/>
          <w:jc w:val="center"/>
        </w:trPr>
        <w:tc>
          <w:tcPr>
            <w:tcW w:w="1310" w:type="dxa"/>
            <w:shd w:val="clear" w:color="auto" w:fill="auto"/>
            <w:tcMar>
              <w:top w:w="80" w:type="dxa"/>
              <w:left w:w="80" w:type="dxa"/>
              <w:bottom w:w="80" w:type="dxa"/>
              <w:right w:w="80" w:type="dxa"/>
            </w:tcMar>
          </w:tcPr>
          <w:p w14:paraId="6A4C5448" w14:textId="77777777" w:rsidR="000E1F2E" w:rsidRDefault="00E1617B">
            <w:pPr>
              <w:pStyle w:val="TableStyle1"/>
              <w:jc w:val="center"/>
            </w:pPr>
            <w:r>
              <w:rPr>
                <w:rFonts w:ascii="Arial" w:hAnsi="Arial"/>
              </w:rPr>
              <w:t>2007</w:t>
            </w:r>
          </w:p>
        </w:tc>
        <w:tc>
          <w:tcPr>
            <w:tcW w:w="1398" w:type="dxa"/>
            <w:shd w:val="clear" w:color="auto" w:fill="auto"/>
            <w:tcMar>
              <w:top w:w="80" w:type="dxa"/>
              <w:left w:w="80" w:type="dxa"/>
              <w:bottom w:w="80" w:type="dxa"/>
              <w:right w:w="80" w:type="dxa"/>
            </w:tcMar>
          </w:tcPr>
          <w:p w14:paraId="0D4A431F" w14:textId="77777777" w:rsidR="000E1F2E" w:rsidRDefault="00E1617B">
            <w:pPr>
              <w:pStyle w:val="TableStyle2"/>
              <w:jc w:val="center"/>
            </w:pPr>
            <w:r>
              <w:rPr>
                <w:rFonts w:ascii="Arial" w:hAnsi="Arial"/>
              </w:rPr>
              <w:t>Pinnacle 4712</w:t>
            </w:r>
          </w:p>
        </w:tc>
        <w:tc>
          <w:tcPr>
            <w:tcW w:w="1452" w:type="dxa"/>
            <w:shd w:val="clear" w:color="auto" w:fill="auto"/>
            <w:tcMar>
              <w:top w:w="80" w:type="dxa"/>
              <w:left w:w="80" w:type="dxa"/>
              <w:bottom w:w="80" w:type="dxa"/>
              <w:right w:w="80" w:type="dxa"/>
            </w:tcMar>
          </w:tcPr>
          <w:p w14:paraId="74FDC47D" w14:textId="77777777" w:rsidR="000E1F2E" w:rsidRDefault="00E1617B">
            <w:pPr>
              <w:pStyle w:val="TableStyle2"/>
              <w:jc w:val="center"/>
            </w:pPr>
            <w:r>
              <w:rPr>
                <w:rFonts w:ascii="Arial" w:hAnsi="Arial"/>
              </w:rPr>
              <w:t>4/12/2007</w:t>
            </w:r>
          </w:p>
        </w:tc>
        <w:tc>
          <w:tcPr>
            <w:tcW w:w="1281" w:type="dxa"/>
            <w:shd w:val="clear" w:color="auto" w:fill="auto"/>
            <w:tcMar>
              <w:top w:w="80" w:type="dxa"/>
              <w:left w:w="80" w:type="dxa"/>
              <w:bottom w:w="80" w:type="dxa"/>
              <w:right w:w="80" w:type="dxa"/>
            </w:tcMar>
          </w:tcPr>
          <w:p w14:paraId="4667F382" w14:textId="77777777" w:rsidR="000E1F2E" w:rsidRDefault="00E1617B">
            <w:pPr>
              <w:pStyle w:val="TableStyle2"/>
              <w:jc w:val="center"/>
            </w:pPr>
            <w:r>
              <w:rPr>
                <w:rFonts w:ascii="Arial" w:hAnsi="Arial"/>
              </w:rPr>
              <w:t>0</w:t>
            </w:r>
          </w:p>
        </w:tc>
        <w:tc>
          <w:tcPr>
            <w:tcW w:w="1267" w:type="dxa"/>
            <w:shd w:val="clear" w:color="auto" w:fill="auto"/>
            <w:tcMar>
              <w:top w:w="80" w:type="dxa"/>
              <w:left w:w="80" w:type="dxa"/>
              <w:bottom w:w="80" w:type="dxa"/>
              <w:right w:w="80" w:type="dxa"/>
            </w:tcMar>
          </w:tcPr>
          <w:p w14:paraId="1CF5A50F" w14:textId="77777777" w:rsidR="000E1F2E" w:rsidRDefault="00E1617B">
            <w:pPr>
              <w:pStyle w:val="TableStyle2"/>
              <w:jc w:val="center"/>
            </w:pPr>
            <w:r>
              <w:rPr>
                <w:rFonts w:ascii="Arial" w:hAnsi="Arial"/>
              </w:rPr>
              <w:t>0</w:t>
            </w:r>
          </w:p>
        </w:tc>
        <w:tc>
          <w:tcPr>
            <w:tcW w:w="1153" w:type="dxa"/>
            <w:shd w:val="clear" w:color="auto" w:fill="auto"/>
            <w:tcMar>
              <w:top w:w="80" w:type="dxa"/>
              <w:left w:w="80" w:type="dxa"/>
              <w:bottom w:w="80" w:type="dxa"/>
              <w:right w:w="80" w:type="dxa"/>
            </w:tcMar>
          </w:tcPr>
          <w:p w14:paraId="16C9FA55" w14:textId="77777777" w:rsidR="000E1F2E" w:rsidRDefault="00E1617B">
            <w:pPr>
              <w:pStyle w:val="TableStyle2"/>
              <w:jc w:val="center"/>
            </w:pPr>
            <w:r>
              <w:rPr>
                <w:rFonts w:ascii="Arial" w:hAnsi="Arial"/>
              </w:rPr>
              <w:t>x</w:t>
            </w:r>
          </w:p>
        </w:tc>
        <w:tc>
          <w:tcPr>
            <w:tcW w:w="1495" w:type="dxa"/>
            <w:shd w:val="clear" w:color="auto" w:fill="auto"/>
            <w:tcMar>
              <w:top w:w="80" w:type="dxa"/>
              <w:left w:w="80" w:type="dxa"/>
              <w:bottom w:w="80" w:type="dxa"/>
              <w:right w:w="80" w:type="dxa"/>
            </w:tcMar>
          </w:tcPr>
          <w:p w14:paraId="5D954619" w14:textId="77777777" w:rsidR="000E1F2E" w:rsidRDefault="00E1617B">
            <w:pPr>
              <w:pStyle w:val="TableStyle2"/>
              <w:jc w:val="center"/>
            </w:pPr>
            <w:r>
              <w:rPr>
                <w:rFonts w:ascii="Arial" w:hAnsi="Arial"/>
              </w:rPr>
              <w:t>x</w:t>
            </w:r>
          </w:p>
        </w:tc>
      </w:tr>
      <w:tr w:rsidR="000E1F2E" w14:paraId="4FC31CC5" w14:textId="77777777">
        <w:tblPrEx>
          <w:shd w:val="clear" w:color="auto" w:fill="auto"/>
        </w:tblPrEx>
        <w:trPr>
          <w:trHeight w:val="653"/>
          <w:jc w:val="center"/>
        </w:trPr>
        <w:tc>
          <w:tcPr>
            <w:tcW w:w="1310" w:type="dxa"/>
            <w:shd w:val="clear" w:color="auto" w:fill="auto"/>
            <w:tcMar>
              <w:top w:w="80" w:type="dxa"/>
              <w:left w:w="80" w:type="dxa"/>
              <w:bottom w:w="80" w:type="dxa"/>
              <w:right w:w="80" w:type="dxa"/>
            </w:tcMar>
          </w:tcPr>
          <w:p w14:paraId="54A883DB" w14:textId="77777777" w:rsidR="000E1F2E" w:rsidRDefault="000E1F2E"/>
        </w:tc>
        <w:tc>
          <w:tcPr>
            <w:tcW w:w="1398" w:type="dxa"/>
            <w:shd w:val="clear" w:color="auto" w:fill="auto"/>
            <w:tcMar>
              <w:top w:w="80" w:type="dxa"/>
              <w:left w:w="80" w:type="dxa"/>
              <w:bottom w:w="80" w:type="dxa"/>
              <w:right w:w="80" w:type="dxa"/>
            </w:tcMar>
          </w:tcPr>
          <w:p w14:paraId="5FD74984" w14:textId="77777777" w:rsidR="000E1F2E" w:rsidRDefault="00E1617B">
            <w:pPr>
              <w:pStyle w:val="TableStyle2"/>
              <w:jc w:val="center"/>
            </w:pPr>
            <w:r>
              <w:rPr>
                <w:rFonts w:ascii="Arial" w:hAnsi="Arial"/>
              </w:rPr>
              <w:t>Air Wisconsin 3758</w:t>
            </w:r>
          </w:p>
        </w:tc>
        <w:tc>
          <w:tcPr>
            <w:tcW w:w="1452" w:type="dxa"/>
            <w:shd w:val="clear" w:color="auto" w:fill="auto"/>
            <w:tcMar>
              <w:top w:w="80" w:type="dxa"/>
              <w:left w:w="80" w:type="dxa"/>
              <w:bottom w:w="80" w:type="dxa"/>
              <w:right w:w="80" w:type="dxa"/>
            </w:tcMar>
          </w:tcPr>
          <w:p w14:paraId="612C2870" w14:textId="77777777" w:rsidR="000E1F2E" w:rsidRDefault="00E1617B">
            <w:pPr>
              <w:pStyle w:val="TableStyle2"/>
              <w:jc w:val="center"/>
            </w:pPr>
            <w:r>
              <w:rPr>
                <w:rFonts w:ascii="Arial" w:hAnsi="Arial"/>
              </w:rPr>
              <w:t>12/16/2007</w:t>
            </w:r>
          </w:p>
        </w:tc>
        <w:tc>
          <w:tcPr>
            <w:tcW w:w="1281" w:type="dxa"/>
            <w:shd w:val="clear" w:color="auto" w:fill="auto"/>
            <w:tcMar>
              <w:top w:w="80" w:type="dxa"/>
              <w:left w:w="80" w:type="dxa"/>
              <w:bottom w:w="80" w:type="dxa"/>
              <w:right w:w="80" w:type="dxa"/>
            </w:tcMar>
          </w:tcPr>
          <w:p w14:paraId="76184892" w14:textId="77777777" w:rsidR="000E1F2E" w:rsidRDefault="00E1617B">
            <w:pPr>
              <w:pStyle w:val="TableStyle2"/>
              <w:jc w:val="center"/>
            </w:pPr>
            <w:r>
              <w:rPr>
                <w:rFonts w:ascii="Arial" w:hAnsi="Arial"/>
              </w:rPr>
              <w:t>0</w:t>
            </w:r>
          </w:p>
        </w:tc>
        <w:tc>
          <w:tcPr>
            <w:tcW w:w="1267" w:type="dxa"/>
            <w:shd w:val="clear" w:color="auto" w:fill="auto"/>
            <w:tcMar>
              <w:top w:w="80" w:type="dxa"/>
              <w:left w:w="80" w:type="dxa"/>
              <w:bottom w:w="80" w:type="dxa"/>
              <w:right w:w="80" w:type="dxa"/>
            </w:tcMar>
          </w:tcPr>
          <w:p w14:paraId="1CA4FADC" w14:textId="77777777" w:rsidR="000E1F2E" w:rsidRDefault="00E1617B">
            <w:pPr>
              <w:pStyle w:val="TableStyle2"/>
              <w:jc w:val="center"/>
            </w:pPr>
            <w:r>
              <w:rPr>
                <w:rFonts w:ascii="Arial" w:hAnsi="Arial"/>
              </w:rPr>
              <w:t>0</w:t>
            </w:r>
          </w:p>
        </w:tc>
        <w:tc>
          <w:tcPr>
            <w:tcW w:w="1153" w:type="dxa"/>
            <w:shd w:val="clear" w:color="auto" w:fill="auto"/>
            <w:tcMar>
              <w:top w:w="80" w:type="dxa"/>
              <w:left w:w="80" w:type="dxa"/>
              <w:bottom w:w="80" w:type="dxa"/>
              <w:right w:w="80" w:type="dxa"/>
            </w:tcMar>
          </w:tcPr>
          <w:p w14:paraId="00387A1B" w14:textId="77777777" w:rsidR="000E1F2E" w:rsidRDefault="00E1617B">
            <w:pPr>
              <w:pStyle w:val="TableStyle2"/>
              <w:jc w:val="center"/>
            </w:pPr>
            <w:r>
              <w:rPr>
                <w:rFonts w:ascii="Arial" w:hAnsi="Arial"/>
              </w:rPr>
              <w:t>x</w:t>
            </w:r>
          </w:p>
        </w:tc>
        <w:tc>
          <w:tcPr>
            <w:tcW w:w="1495" w:type="dxa"/>
            <w:shd w:val="clear" w:color="auto" w:fill="auto"/>
            <w:tcMar>
              <w:top w:w="80" w:type="dxa"/>
              <w:left w:w="80" w:type="dxa"/>
              <w:bottom w:w="80" w:type="dxa"/>
              <w:right w:w="80" w:type="dxa"/>
            </w:tcMar>
          </w:tcPr>
          <w:p w14:paraId="11B1096C" w14:textId="77777777" w:rsidR="000E1F2E" w:rsidRDefault="00E1617B">
            <w:pPr>
              <w:pStyle w:val="TableStyle2"/>
              <w:jc w:val="center"/>
            </w:pPr>
            <w:r>
              <w:rPr>
                <w:rFonts w:ascii="Arial" w:hAnsi="Arial"/>
              </w:rPr>
              <w:t>x</w:t>
            </w:r>
          </w:p>
        </w:tc>
      </w:tr>
      <w:tr w:rsidR="000E1F2E" w14:paraId="2C563573" w14:textId="77777777">
        <w:tblPrEx>
          <w:shd w:val="clear" w:color="auto" w:fill="auto"/>
        </w:tblPrEx>
        <w:trPr>
          <w:trHeight w:val="653"/>
          <w:jc w:val="center"/>
        </w:trPr>
        <w:tc>
          <w:tcPr>
            <w:tcW w:w="1310" w:type="dxa"/>
            <w:shd w:val="clear" w:color="auto" w:fill="auto"/>
            <w:tcMar>
              <w:top w:w="80" w:type="dxa"/>
              <w:left w:w="80" w:type="dxa"/>
              <w:bottom w:w="80" w:type="dxa"/>
              <w:right w:w="80" w:type="dxa"/>
            </w:tcMar>
          </w:tcPr>
          <w:p w14:paraId="0B33A40B" w14:textId="77777777" w:rsidR="000E1F2E" w:rsidRDefault="00E1617B">
            <w:pPr>
              <w:pStyle w:val="TableStyle1"/>
              <w:jc w:val="center"/>
            </w:pPr>
            <w:r>
              <w:rPr>
                <w:rFonts w:ascii="Arial" w:hAnsi="Arial"/>
              </w:rPr>
              <w:t>2008</w:t>
            </w:r>
          </w:p>
        </w:tc>
        <w:tc>
          <w:tcPr>
            <w:tcW w:w="1398" w:type="dxa"/>
            <w:shd w:val="clear" w:color="auto" w:fill="auto"/>
            <w:tcMar>
              <w:top w:w="80" w:type="dxa"/>
              <w:left w:w="80" w:type="dxa"/>
              <w:bottom w:w="80" w:type="dxa"/>
              <w:right w:w="80" w:type="dxa"/>
            </w:tcMar>
          </w:tcPr>
          <w:p w14:paraId="5728E3F4" w14:textId="77777777" w:rsidR="000E1F2E" w:rsidRDefault="00E1617B">
            <w:pPr>
              <w:pStyle w:val="TableStyle2"/>
              <w:jc w:val="center"/>
            </w:pPr>
            <w:r>
              <w:rPr>
                <w:rFonts w:ascii="Arial" w:hAnsi="Arial"/>
              </w:rPr>
              <w:t>Shuttle America 6448</w:t>
            </w:r>
          </w:p>
        </w:tc>
        <w:tc>
          <w:tcPr>
            <w:tcW w:w="1452" w:type="dxa"/>
            <w:shd w:val="clear" w:color="auto" w:fill="auto"/>
            <w:tcMar>
              <w:top w:w="80" w:type="dxa"/>
              <w:left w:w="80" w:type="dxa"/>
              <w:bottom w:w="80" w:type="dxa"/>
              <w:right w:w="80" w:type="dxa"/>
            </w:tcMar>
          </w:tcPr>
          <w:p w14:paraId="56BDFD0D" w14:textId="77777777" w:rsidR="000E1F2E" w:rsidRDefault="00E1617B">
            <w:pPr>
              <w:pStyle w:val="TableStyle2"/>
              <w:jc w:val="center"/>
            </w:pPr>
            <w:r>
              <w:rPr>
                <w:rFonts w:ascii="Arial" w:hAnsi="Arial"/>
              </w:rPr>
              <w:t>2/18/2008</w:t>
            </w:r>
          </w:p>
        </w:tc>
        <w:tc>
          <w:tcPr>
            <w:tcW w:w="1281" w:type="dxa"/>
            <w:shd w:val="clear" w:color="auto" w:fill="auto"/>
            <w:tcMar>
              <w:top w:w="80" w:type="dxa"/>
              <w:left w:w="80" w:type="dxa"/>
              <w:bottom w:w="80" w:type="dxa"/>
              <w:right w:w="80" w:type="dxa"/>
            </w:tcMar>
          </w:tcPr>
          <w:p w14:paraId="51A1CDC3" w14:textId="77777777" w:rsidR="000E1F2E" w:rsidRDefault="00E1617B">
            <w:pPr>
              <w:pStyle w:val="TableStyle2"/>
              <w:jc w:val="center"/>
            </w:pPr>
            <w:r>
              <w:rPr>
                <w:rFonts w:ascii="Arial" w:hAnsi="Arial"/>
              </w:rPr>
              <w:t>0</w:t>
            </w:r>
          </w:p>
        </w:tc>
        <w:tc>
          <w:tcPr>
            <w:tcW w:w="1267" w:type="dxa"/>
            <w:shd w:val="clear" w:color="auto" w:fill="auto"/>
            <w:tcMar>
              <w:top w:w="80" w:type="dxa"/>
              <w:left w:w="80" w:type="dxa"/>
              <w:bottom w:w="80" w:type="dxa"/>
              <w:right w:w="80" w:type="dxa"/>
            </w:tcMar>
          </w:tcPr>
          <w:p w14:paraId="475F9D36" w14:textId="77777777" w:rsidR="000E1F2E" w:rsidRDefault="00E1617B">
            <w:pPr>
              <w:pStyle w:val="TableStyle2"/>
              <w:jc w:val="center"/>
            </w:pPr>
            <w:r>
              <w:rPr>
                <w:rFonts w:ascii="Arial" w:hAnsi="Arial"/>
              </w:rPr>
              <w:t>0</w:t>
            </w:r>
          </w:p>
        </w:tc>
        <w:tc>
          <w:tcPr>
            <w:tcW w:w="1153" w:type="dxa"/>
            <w:shd w:val="clear" w:color="auto" w:fill="auto"/>
            <w:tcMar>
              <w:top w:w="80" w:type="dxa"/>
              <w:left w:w="80" w:type="dxa"/>
              <w:bottom w:w="80" w:type="dxa"/>
              <w:right w:w="80" w:type="dxa"/>
            </w:tcMar>
          </w:tcPr>
          <w:p w14:paraId="3A1F059F" w14:textId="77777777" w:rsidR="000E1F2E" w:rsidRDefault="00E1617B">
            <w:pPr>
              <w:pStyle w:val="TableStyle2"/>
              <w:jc w:val="center"/>
            </w:pPr>
            <w:r>
              <w:rPr>
                <w:rFonts w:ascii="Arial" w:hAnsi="Arial"/>
              </w:rPr>
              <w:t>x</w:t>
            </w:r>
          </w:p>
        </w:tc>
        <w:tc>
          <w:tcPr>
            <w:tcW w:w="1495" w:type="dxa"/>
            <w:shd w:val="clear" w:color="auto" w:fill="auto"/>
            <w:tcMar>
              <w:top w:w="80" w:type="dxa"/>
              <w:left w:w="80" w:type="dxa"/>
              <w:bottom w:w="80" w:type="dxa"/>
              <w:right w:w="80" w:type="dxa"/>
            </w:tcMar>
          </w:tcPr>
          <w:p w14:paraId="532778E8" w14:textId="77777777" w:rsidR="000E1F2E" w:rsidRDefault="00E1617B">
            <w:pPr>
              <w:pStyle w:val="TableStyle2"/>
              <w:jc w:val="center"/>
            </w:pPr>
            <w:r>
              <w:rPr>
                <w:rFonts w:ascii="Arial" w:hAnsi="Arial"/>
              </w:rPr>
              <w:t>x</w:t>
            </w:r>
          </w:p>
        </w:tc>
      </w:tr>
      <w:tr w:rsidR="000E1F2E" w14:paraId="424C6266" w14:textId="77777777">
        <w:tblPrEx>
          <w:shd w:val="clear" w:color="auto" w:fill="auto"/>
        </w:tblPrEx>
        <w:trPr>
          <w:trHeight w:val="309"/>
          <w:jc w:val="center"/>
        </w:trPr>
        <w:tc>
          <w:tcPr>
            <w:tcW w:w="1310" w:type="dxa"/>
            <w:shd w:val="clear" w:color="auto" w:fill="auto"/>
            <w:tcMar>
              <w:top w:w="80" w:type="dxa"/>
              <w:left w:w="80" w:type="dxa"/>
              <w:bottom w:w="80" w:type="dxa"/>
              <w:right w:w="80" w:type="dxa"/>
            </w:tcMar>
          </w:tcPr>
          <w:p w14:paraId="024D361A" w14:textId="77777777" w:rsidR="000E1F2E" w:rsidRDefault="00E1617B">
            <w:pPr>
              <w:pStyle w:val="TableStyle1"/>
              <w:jc w:val="center"/>
            </w:pPr>
            <w:r>
              <w:rPr>
                <w:rFonts w:ascii="Arial" w:hAnsi="Arial"/>
              </w:rPr>
              <w:t>Total</w:t>
            </w:r>
          </w:p>
        </w:tc>
        <w:tc>
          <w:tcPr>
            <w:tcW w:w="1398" w:type="dxa"/>
            <w:shd w:val="clear" w:color="auto" w:fill="auto"/>
            <w:tcMar>
              <w:top w:w="80" w:type="dxa"/>
              <w:left w:w="80" w:type="dxa"/>
              <w:bottom w:w="80" w:type="dxa"/>
              <w:right w:w="80" w:type="dxa"/>
            </w:tcMar>
          </w:tcPr>
          <w:p w14:paraId="67213532" w14:textId="77777777" w:rsidR="000E1F2E" w:rsidRDefault="000E1F2E"/>
        </w:tc>
        <w:tc>
          <w:tcPr>
            <w:tcW w:w="1452" w:type="dxa"/>
            <w:shd w:val="clear" w:color="auto" w:fill="auto"/>
            <w:tcMar>
              <w:top w:w="80" w:type="dxa"/>
              <w:left w:w="80" w:type="dxa"/>
              <w:bottom w:w="80" w:type="dxa"/>
              <w:right w:w="80" w:type="dxa"/>
            </w:tcMar>
          </w:tcPr>
          <w:p w14:paraId="0002B063" w14:textId="77777777" w:rsidR="000E1F2E" w:rsidRDefault="000E1F2E"/>
        </w:tc>
        <w:tc>
          <w:tcPr>
            <w:tcW w:w="1281" w:type="dxa"/>
            <w:shd w:val="clear" w:color="auto" w:fill="auto"/>
            <w:tcMar>
              <w:top w:w="80" w:type="dxa"/>
              <w:left w:w="80" w:type="dxa"/>
              <w:bottom w:w="80" w:type="dxa"/>
              <w:right w:w="80" w:type="dxa"/>
            </w:tcMar>
          </w:tcPr>
          <w:p w14:paraId="02357BB1" w14:textId="77777777" w:rsidR="000E1F2E" w:rsidRDefault="00C22511">
            <w:pPr>
              <w:pStyle w:val="TableStyle2"/>
              <w:jc w:val="center"/>
            </w:pPr>
            <w:r>
              <w:fldChar w:fldCharType="begin"/>
            </w:r>
            <w:r w:rsidR="00E1617B">
              <w:instrText xml:space="preserve"> = SUM(D2:D11) \# "0" \* MERGEFORMAT</w:instrText>
            </w:r>
            <w:r>
              <w:fldChar w:fldCharType="separate"/>
            </w:r>
            <w:r w:rsidR="00E1617B">
              <w:rPr>
                <w:rFonts w:ascii="Arial" w:hAnsi="Arial"/>
                <w:b/>
                <w:bCs/>
              </w:rPr>
              <w:t>89</w:t>
            </w:r>
            <w:r>
              <w:fldChar w:fldCharType="end"/>
            </w:r>
          </w:p>
        </w:tc>
        <w:tc>
          <w:tcPr>
            <w:tcW w:w="1267" w:type="dxa"/>
            <w:shd w:val="clear" w:color="auto" w:fill="auto"/>
            <w:tcMar>
              <w:top w:w="80" w:type="dxa"/>
              <w:left w:w="80" w:type="dxa"/>
              <w:bottom w:w="80" w:type="dxa"/>
              <w:right w:w="80" w:type="dxa"/>
            </w:tcMar>
          </w:tcPr>
          <w:p w14:paraId="58D6F1D8" w14:textId="77777777" w:rsidR="000E1F2E" w:rsidRDefault="00C22511">
            <w:pPr>
              <w:pStyle w:val="TableStyle2"/>
              <w:jc w:val="center"/>
            </w:pPr>
            <w:r>
              <w:fldChar w:fldCharType="begin"/>
            </w:r>
            <w:r w:rsidR="00E1617B">
              <w:instrText xml:space="preserve"> = SUM(E2:E11) \# "0" \* MERGEFORMAT</w:instrText>
            </w:r>
            <w:r>
              <w:fldChar w:fldCharType="separate"/>
            </w:r>
            <w:r w:rsidR="00E1617B">
              <w:rPr>
                <w:rFonts w:ascii="Arial" w:hAnsi="Arial"/>
                <w:b/>
                <w:bCs/>
              </w:rPr>
              <w:t>1</w:t>
            </w:r>
            <w:r>
              <w:fldChar w:fldCharType="end"/>
            </w:r>
          </w:p>
        </w:tc>
        <w:tc>
          <w:tcPr>
            <w:tcW w:w="1153" w:type="dxa"/>
            <w:shd w:val="clear" w:color="auto" w:fill="auto"/>
            <w:tcMar>
              <w:top w:w="80" w:type="dxa"/>
              <w:left w:w="80" w:type="dxa"/>
              <w:bottom w:w="80" w:type="dxa"/>
              <w:right w:w="80" w:type="dxa"/>
            </w:tcMar>
          </w:tcPr>
          <w:p w14:paraId="4908CA27" w14:textId="77777777" w:rsidR="000E1F2E" w:rsidRDefault="000E1F2E"/>
        </w:tc>
        <w:tc>
          <w:tcPr>
            <w:tcW w:w="1495" w:type="dxa"/>
            <w:shd w:val="clear" w:color="auto" w:fill="auto"/>
            <w:tcMar>
              <w:top w:w="80" w:type="dxa"/>
              <w:left w:w="80" w:type="dxa"/>
              <w:bottom w:w="80" w:type="dxa"/>
              <w:right w:w="80" w:type="dxa"/>
            </w:tcMar>
          </w:tcPr>
          <w:p w14:paraId="71401401" w14:textId="77777777" w:rsidR="000E1F2E" w:rsidRDefault="000E1F2E"/>
        </w:tc>
      </w:tr>
    </w:tbl>
    <w:p w14:paraId="0767BC99" w14:textId="77777777" w:rsidR="000E1F2E" w:rsidRDefault="000E1F2E">
      <w:pPr>
        <w:pStyle w:val="Body"/>
        <w:jc w:val="center"/>
        <w:rPr>
          <w:sz w:val="24"/>
          <w:szCs w:val="24"/>
        </w:rPr>
      </w:pPr>
    </w:p>
    <w:p w14:paraId="31BAEF62" w14:textId="77777777" w:rsidR="000E1F2E" w:rsidRDefault="000E1F2E">
      <w:pPr>
        <w:pStyle w:val="Body"/>
        <w:jc w:val="center"/>
        <w:rPr>
          <w:sz w:val="24"/>
          <w:szCs w:val="24"/>
        </w:rPr>
      </w:pPr>
    </w:p>
    <w:p w14:paraId="6B7E461C" w14:textId="77777777" w:rsidR="000E1F2E" w:rsidRDefault="000E1F2E">
      <w:pPr>
        <w:pStyle w:val="Body"/>
        <w:rPr>
          <w:sz w:val="24"/>
          <w:szCs w:val="24"/>
        </w:rPr>
      </w:pPr>
    </w:p>
    <w:p w14:paraId="66549342" w14:textId="77777777" w:rsidR="000E1F2E" w:rsidRDefault="000E1F2E">
      <w:pPr>
        <w:pStyle w:val="Body"/>
        <w:jc w:val="center"/>
        <w:rPr>
          <w:sz w:val="24"/>
          <w:szCs w:val="24"/>
        </w:rPr>
      </w:pPr>
    </w:p>
    <w:p w14:paraId="55A24B2E" w14:textId="77777777" w:rsidR="000E1F2E" w:rsidRDefault="000E1F2E">
      <w:pPr>
        <w:pStyle w:val="Body"/>
        <w:jc w:val="center"/>
        <w:rPr>
          <w:sz w:val="24"/>
          <w:szCs w:val="24"/>
        </w:rPr>
      </w:pPr>
    </w:p>
    <w:p w14:paraId="4E2AF562" w14:textId="77777777" w:rsidR="000E1F2E" w:rsidRDefault="00E1617B">
      <w:pPr>
        <w:pStyle w:val="Body"/>
        <w:jc w:val="both"/>
        <w:rPr>
          <w:sz w:val="24"/>
          <w:szCs w:val="24"/>
        </w:rPr>
      </w:pPr>
      <w:r>
        <w:rPr>
          <w:sz w:val="24"/>
          <w:szCs w:val="24"/>
        </w:rPr>
        <w:tab/>
        <w:t xml:space="preserve">In addition, a cargo turboprop flight, Empire 8284, crashed just two weeks before the </w:t>
      </w:r>
      <w:proofErr w:type="spellStart"/>
      <w:r>
        <w:rPr>
          <w:sz w:val="24"/>
          <w:szCs w:val="24"/>
        </w:rPr>
        <w:t>Colgan</w:t>
      </w:r>
      <w:proofErr w:type="spellEnd"/>
      <w:r>
        <w:rPr>
          <w:sz w:val="24"/>
          <w:szCs w:val="24"/>
        </w:rPr>
        <w:t xml:space="preserve"> accident, and it was another crew-involved accident. The </w:t>
      </w:r>
      <w:proofErr w:type="spellStart"/>
      <w:r>
        <w:rPr>
          <w:sz w:val="24"/>
          <w:szCs w:val="24"/>
        </w:rPr>
        <w:t>Colgan</w:t>
      </w:r>
      <w:proofErr w:type="spellEnd"/>
      <w:r>
        <w:rPr>
          <w:sz w:val="24"/>
          <w:szCs w:val="24"/>
        </w:rPr>
        <w:t xml:space="preserve"> captain’s extensive record of certification and training failures, which was revealed early in the investigation, and the casual atmosphere in the cockpit during the accident flight, which was revealed when the docket was opened, added to concerns of a negative trend </w:t>
      </w:r>
      <w:proofErr w:type="gramStart"/>
      <w:r>
        <w:rPr>
          <w:sz w:val="24"/>
          <w:szCs w:val="24"/>
        </w:rPr>
        <w:t>in  pilot</w:t>
      </w:r>
      <w:proofErr w:type="gramEnd"/>
      <w:r>
        <w:rPr>
          <w:sz w:val="24"/>
          <w:szCs w:val="24"/>
        </w:rPr>
        <w:t xml:space="preserve"> performance standards and professional conduct at regional airlines.</w:t>
      </w:r>
    </w:p>
    <w:p w14:paraId="611489FD" w14:textId="77777777" w:rsidR="000E1F2E" w:rsidRDefault="000E1F2E">
      <w:pPr>
        <w:pStyle w:val="Body"/>
        <w:jc w:val="both"/>
        <w:rPr>
          <w:sz w:val="24"/>
          <w:szCs w:val="24"/>
        </w:rPr>
      </w:pPr>
    </w:p>
    <w:p w14:paraId="6BFEA37F" w14:textId="77777777" w:rsidR="000E1F2E" w:rsidRDefault="00E1617B">
      <w:pPr>
        <w:pStyle w:val="Body"/>
        <w:jc w:val="both"/>
        <w:rPr>
          <w:sz w:val="24"/>
          <w:szCs w:val="24"/>
        </w:rPr>
      </w:pPr>
      <w:r>
        <w:rPr>
          <w:sz w:val="24"/>
          <w:szCs w:val="24"/>
        </w:rPr>
        <w:tab/>
        <w:t xml:space="preserve">At the time of the </w:t>
      </w:r>
      <w:proofErr w:type="spellStart"/>
      <w:r>
        <w:rPr>
          <w:sz w:val="24"/>
          <w:szCs w:val="24"/>
        </w:rPr>
        <w:t>Colgan</w:t>
      </w:r>
      <w:proofErr w:type="spellEnd"/>
      <w:r>
        <w:rPr>
          <w:sz w:val="24"/>
          <w:szCs w:val="24"/>
        </w:rPr>
        <w:t xml:space="preserve"> accident, many aspects of airline regulation had not changed substantively in decades. New airline first officers (FO’s) were only required to have an FAA commercial certificate, which could be obtained when a pilot had 250 flight hours, or in some cases, less. The Airline Transport Pilot (ATP) certificate could be obtained without any airline training. Airline pilot training records varied widely in quality and were rapidly being replaced by electronic systems that eliminated many details. Safety programs also varied widely in quality, and the data collection programs that enabled better analysis were optional. Pilot flight and duty time rules designed to ensure pilots were properly rested were arbitrary and largely unchanged since before the advent of the jet age. Airline stall training was based on the idea that practicing recovery from actual stalls was unnecessary. Flight simulators lacked the ability to simulate full stalls. There was confusion by pilots at regional airlines about when an ice contaminated tail stall (ICTS) would occur; airlines provided videos on tail stall but no actual training.</w:t>
      </w:r>
    </w:p>
    <w:p w14:paraId="22D33141" w14:textId="77777777" w:rsidR="000E1F2E" w:rsidRDefault="000E1F2E">
      <w:pPr>
        <w:pStyle w:val="Body"/>
        <w:jc w:val="both"/>
        <w:rPr>
          <w:sz w:val="24"/>
          <w:szCs w:val="24"/>
        </w:rPr>
      </w:pPr>
    </w:p>
    <w:p w14:paraId="1B1556AB" w14:textId="77777777" w:rsidR="000E1F2E" w:rsidRDefault="00E1617B">
      <w:pPr>
        <w:pStyle w:val="Body"/>
        <w:jc w:val="both"/>
        <w:rPr>
          <w:sz w:val="24"/>
          <w:szCs w:val="24"/>
        </w:rPr>
      </w:pPr>
      <w:r>
        <w:rPr>
          <w:sz w:val="24"/>
          <w:szCs w:val="24"/>
        </w:rPr>
        <w:tab/>
        <w:t>Airline pilot professionalism was generally taken for granted. The FAA and the industry assumed captains would be highly observant of rules and procedures. Crew compliance with the ban on use of personal electronic devices (PED’s) and with the sterile cockpit rule were assumed by the FAA. Proper monitoring of a flight’s progress by the pilot not flying was a skill the FAA thought was understood and done by all pilots. Pilots who travelled long distances from home to begin their flights were assumed to ensure they would be fit and ready for flight.</w:t>
      </w:r>
    </w:p>
    <w:p w14:paraId="1CAA9F9C" w14:textId="77777777" w:rsidR="000E1F2E" w:rsidRDefault="000E1F2E">
      <w:pPr>
        <w:pStyle w:val="Body"/>
        <w:jc w:val="both"/>
        <w:rPr>
          <w:b/>
          <w:bCs/>
          <w:sz w:val="24"/>
          <w:szCs w:val="24"/>
        </w:rPr>
      </w:pPr>
    </w:p>
    <w:p w14:paraId="58B9F412" w14:textId="77777777" w:rsidR="000E1F2E" w:rsidRDefault="00E1617B">
      <w:pPr>
        <w:pStyle w:val="Body"/>
        <w:jc w:val="both"/>
        <w:rPr>
          <w:sz w:val="24"/>
          <w:szCs w:val="24"/>
        </w:rPr>
      </w:pPr>
      <w:r>
        <w:rPr>
          <w:b/>
          <w:bCs/>
          <w:sz w:val="24"/>
          <w:szCs w:val="24"/>
        </w:rPr>
        <w:tab/>
      </w:r>
      <w:proofErr w:type="spellStart"/>
      <w:r>
        <w:rPr>
          <w:sz w:val="24"/>
          <w:szCs w:val="24"/>
        </w:rPr>
        <w:t>Colgan</w:t>
      </w:r>
      <w:proofErr w:type="spellEnd"/>
      <w:r>
        <w:rPr>
          <w:sz w:val="24"/>
          <w:szCs w:val="24"/>
        </w:rPr>
        <w:t xml:space="preserve"> Airlines and the regional airline industry bore the brunt of scrutiny during the </w:t>
      </w:r>
      <w:proofErr w:type="spellStart"/>
      <w:r>
        <w:rPr>
          <w:sz w:val="24"/>
          <w:szCs w:val="24"/>
        </w:rPr>
        <w:t>Colgan</w:t>
      </w:r>
      <w:proofErr w:type="spellEnd"/>
      <w:r>
        <w:rPr>
          <w:sz w:val="24"/>
          <w:szCs w:val="24"/>
        </w:rPr>
        <w:t xml:space="preserve"> investigation.  </w:t>
      </w:r>
      <w:proofErr w:type="spellStart"/>
      <w:r>
        <w:rPr>
          <w:sz w:val="24"/>
          <w:szCs w:val="24"/>
        </w:rPr>
        <w:t>Colgan</w:t>
      </w:r>
      <w:proofErr w:type="spellEnd"/>
      <w:r>
        <w:rPr>
          <w:sz w:val="24"/>
          <w:szCs w:val="24"/>
        </w:rPr>
        <w:t xml:space="preserve"> itself was merged into its corporate parent airline and disappeared. However, regional airlines as a whole continued to grow and most of the recommendations and laws from the investigation pertained not just to regional airlines, but to the entire airline industry. </w:t>
      </w:r>
    </w:p>
    <w:p w14:paraId="70D52C8E" w14:textId="77777777" w:rsidR="000E1F2E" w:rsidRDefault="000E1F2E">
      <w:pPr>
        <w:pStyle w:val="Body"/>
        <w:jc w:val="both"/>
        <w:rPr>
          <w:sz w:val="24"/>
          <w:szCs w:val="24"/>
        </w:rPr>
      </w:pPr>
    </w:p>
    <w:p w14:paraId="3D1B3182" w14:textId="77777777" w:rsidR="000E1F2E" w:rsidRDefault="000E1F2E">
      <w:pPr>
        <w:pStyle w:val="Body"/>
        <w:jc w:val="both"/>
        <w:rPr>
          <w:b/>
          <w:bCs/>
          <w:sz w:val="24"/>
          <w:szCs w:val="24"/>
        </w:rPr>
      </w:pPr>
    </w:p>
    <w:p w14:paraId="57470DAF" w14:textId="77777777" w:rsidR="000E1F2E" w:rsidRDefault="00E1617B">
      <w:pPr>
        <w:pStyle w:val="Body"/>
        <w:jc w:val="both"/>
        <w:rPr>
          <w:b/>
          <w:bCs/>
          <w:sz w:val="26"/>
          <w:szCs w:val="26"/>
        </w:rPr>
      </w:pPr>
      <w:r>
        <w:rPr>
          <w:b/>
          <w:bCs/>
          <w:sz w:val="26"/>
          <w:szCs w:val="26"/>
        </w:rPr>
        <w:t>Actions and Results</w:t>
      </w:r>
    </w:p>
    <w:p w14:paraId="5BE4DB06" w14:textId="77777777" w:rsidR="000E1F2E" w:rsidRDefault="000E1F2E">
      <w:pPr>
        <w:pStyle w:val="Body"/>
        <w:jc w:val="both"/>
        <w:rPr>
          <w:sz w:val="24"/>
          <w:szCs w:val="24"/>
        </w:rPr>
      </w:pPr>
    </w:p>
    <w:p w14:paraId="75B356F5" w14:textId="77777777" w:rsidR="000E1F2E" w:rsidRDefault="00E1617B">
      <w:pPr>
        <w:pStyle w:val="Body"/>
        <w:jc w:val="both"/>
        <w:rPr>
          <w:sz w:val="24"/>
          <w:szCs w:val="24"/>
        </w:rPr>
      </w:pPr>
      <w:r>
        <w:rPr>
          <w:sz w:val="24"/>
          <w:szCs w:val="24"/>
        </w:rPr>
        <w:tab/>
        <w:t xml:space="preserve">The NTSB’s final report, which was adopted on February 2, 2010, was an omnibus report. The analysis addressed 13 main issues and 24 sub-issues. Recommendations from previous reports which had not been acted on by the FAA were revived and reconsidered in the light of the facts of the </w:t>
      </w:r>
      <w:proofErr w:type="spellStart"/>
      <w:r>
        <w:rPr>
          <w:sz w:val="24"/>
          <w:szCs w:val="24"/>
        </w:rPr>
        <w:t>Colgan</w:t>
      </w:r>
      <w:proofErr w:type="spellEnd"/>
      <w:r>
        <w:rPr>
          <w:sz w:val="24"/>
          <w:szCs w:val="24"/>
        </w:rPr>
        <w:t xml:space="preserve"> accident. The NTSB </w:t>
      </w:r>
      <w:r>
        <w:rPr>
          <w:sz w:val="24"/>
          <w:szCs w:val="24"/>
        </w:rPr>
        <w:lastRenderedPageBreak/>
        <w:t>recommendations, which are not binding, were scrutinized carefully by congressional staff as they drafted the new law. The new airline safety act mandated the main ideas of some of the NTSB recommendations and added major changes to rules on pilot certification, pilot hiring, pilot training, pilot records, pilot fatigue, airline safety programs and FAA oversight. The resulting regulations were a product of new and old NTSB recommendations, FAA sponsored ARC’s,</w:t>
      </w:r>
      <w:r>
        <w:rPr>
          <w:b/>
          <w:bCs/>
          <w:sz w:val="24"/>
          <w:szCs w:val="24"/>
          <w:vertAlign w:val="superscript"/>
        </w:rPr>
        <w:endnoteReference w:id="8"/>
      </w:r>
      <w:r>
        <w:rPr>
          <w:sz w:val="24"/>
          <w:szCs w:val="24"/>
        </w:rPr>
        <w:t xml:space="preserve"> FAA internal analysis, and the provisions of the new law.</w:t>
      </w:r>
    </w:p>
    <w:p w14:paraId="7C1BF6C7" w14:textId="77777777" w:rsidR="000E1F2E" w:rsidRDefault="000E1F2E">
      <w:pPr>
        <w:pStyle w:val="Body"/>
        <w:jc w:val="both"/>
        <w:rPr>
          <w:sz w:val="24"/>
          <w:szCs w:val="24"/>
        </w:rPr>
      </w:pPr>
    </w:p>
    <w:p w14:paraId="57D72135" w14:textId="77777777" w:rsidR="000E1F2E" w:rsidRDefault="00E1617B">
      <w:pPr>
        <w:pStyle w:val="Body"/>
        <w:jc w:val="both"/>
        <w:rPr>
          <w:sz w:val="24"/>
          <w:szCs w:val="24"/>
        </w:rPr>
      </w:pPr>
      <w:r>
        <w:rPr>
          <w:sz w:val="24"/>
          <w:szCs w:val="24"/>
        </w:rPr>
        <w:tab/>
        <w:t xml:space="preserve">Following is a summary of the major safety changes made as a direct or indirect result of the </w:t>
      </w:r>
      <w:proofErr w:type="spellStart"/>
      <w:r>
        <w:rPr>
          <w:sz w:val="24"/>
          <w:szCs w:val="24"/>
        </w:rPr>
        <w:t>Colgan</w:t>
      </w:r>
      <w:proofErr w:type="spellEnd"/>
      <w:r>
        <w:rPr>
          <w:sz w:val="24"/>
          <w:szCs w:val="24"/>
        </w:rPr>
        <w:t xml:space="preserve"> investigation, including remaining implementation concerns. A detailed examination of every change made as a result of the </w:t>
      </w:r>
      <w:proofErr w:type="spellStart"/>
      <w:r>
        <w:rPr>
          <w:sz w:val="24"/>
          <w:szCs w:val="24"/>
        </w:rPr>
        <w:t>Colgan</w:t>
      </w:r>
      <w:proofErr w:type="spellEnd"/>
      <w:r>
        <w:rPr>
          <w:sz w:val="24"/>
          <w:szCs w:val="24"/>
        </w:rPr>
        <w:t xml:space="preserve"> investigation is beyond the scope of this report. Further information about the recommendations can be found on the NTSB website at </w:t>
      </w:r>
      <w:r>
        <w:rPr>
          <w:sz w:val="20"/>
          <w:szCs w:val="20"/>
        </w:rPr>
        <w:t>WWW.NTSB.GOV</w:t>
      </w:r>
      <w:r>
        <w:rPr>
          <w:sz w:val="24"/>
          <w:szCs w:val="24"/>
        </w:rPr>
        <w:t xml:space="preserve">. The current status of the NTSB recommendations is shown in table 2, and of the provisions of the airline safety act in table 3. </w:t>
      </w:r>
      <w:r w:rsidR="009A688B">
        <w:rPr>
          <w:sz w:val="24"/>
          <w:szCs w:val="24"/>
        </w:rPr>
        <w:t>(</w:t>
      </w:r>
      <w:r>
        <w:rPr>
          <w:sz w:val="24"/>
          <w:szCs w:val="24"/>
        </w:rPr>
        <w:t xml:space="preserve">The first letter of the </w:t>
      </w:r>
      <w:r w:rsidR="009A688B">
        <w:rPr>
          <w:sz w:val="24"/>
          <w:szCs w:val="24"/>
        </w:rPr>
        <w:t xml:space="preserve">recommendation </w:t>
      </w:r>
      <w:r>
        <w:rPr>
          <w:sz w:val="24"/>
          <w:szCs w:val="24"/>
        </w:rPr>
        <w:t xml:space="preserve">status indicates if the recommendation is open or closed; the second letter indicates acceptable or unacceptable; the remaining letters are qualifiers, such as “response,” </w:t>
      </w:r>
      <w:r w:rsidR="009A688B">
        <w:rPr>
          <w:sz w:val="24"/>
          <w:szCs w:val="24"/>
        </w:rPr>
        <w:t>“action,” or “alternate action.”)</w:t>
      </w:r>
    </w:p>
    <w:p w14:paraId="7321E443" w14:textId="77777777" w:rsidR="000E1F2E" w:rsidRDefault="000E1F2E">
      <w:pPr>
        <w:pStyle w:val="Body"/>
        <w:jc w:val="both"/>
        <w:rPr>
          <w:sz w:val="24"/>
          <w:szCs w:val="24"/>
        </w:rPr>
      </w:pPr>
    </w:p>
    <w:p w14:paraId="763EE1C3" w14:textId="77777777" w:rsidR="000E1F2E" w:rsidRDefault="000E1F2E">
      <w:pPr>
        <w:pStyle w:val="Body"/>
        <w:jc w:val="both"/>
        <w:rPr>
          <w:sz w:val="24"/>
          <w:szCs w:val="24"/>
        </w:rPr>
      </w:pPr>
    </w:p>
    <w:p w14:paraId="6567E6C1" w14:textId="77777777" w:rsidR="000E1F2E" w:rsidRDefault="00E1617B">
      <w:pPr>
        <w:pStyle w:val="Body"/>
        <w:jc w:val="center"/>
        <w:rPr>
          <w:b/>
          <w:bCs/>
          <w:sz w:val="24"/>
          <w:szCs w:val="24"/>
        </w:rPr>
      </w:pPr>
      <w:r>
        <w:rPr>
          <w:b/>
          <w:bCs/>
          <w:sz w:val="24"/>
          <w:szCs w:val="24"/>
        </w:rPr>
        <w:t xml:space="preserve">Table 2 - </w:t>
      </w:r>
      <w:proofErr w:type="spellStart"/>
      <w:r>
        <w:rPr>
          <w:b/>
          <w:bCs/>
          <w:sz w:val="24"/>
          <w:szCs w:val="24"/>
        </w:rPr>
        <w:t>Colgan</w:t>
      </w:r>
      <w:proofErr w:type="spellEnd"/>
      <w:r>
        <w:rPr>
          <w:b/>
          <w:bCs/>
          <w:sz w:val="24"/>
          <w:szCs w:val="24"/>
        </w:rPr>
        <w:t xml:space="preserve"> Recommendations Status</w:t>
      </w:r>
    </w:p>
    <w:p w14:paraId="5E0C7020" w14:textId="77777777" w:rsidR="000E1F2E" w:rsidRDefault="00E1617B">
      <w:pPr>
        <w:pStyle w:val="Body"/>
        <w:jc w:val="center"/>
        <w:rPr>
          <w:sz w:val="24"/>
          <w:szCs w:val="24"/>
        </w:rPr>
      </w:pPr>
      <w:r>
        <w:rPr>
          <w:b/>
          <w:bCs/>
          <w:sz w:val="24"/>
          <w:szCs w:val="24"/>
        </w:rPr>
        <w:t>as of March 2017</w:t>
      </w:r>
    </w:p>
    <w:p w14:paraId="1E3658B0" w14:textId="77777777" w:rsidR="000E1F2E" w:rsidRDefault="00E1617B">
      <w:pPr>
        <w:pStyle w:val="Body"/>
        <w:jc w:val="both"/>
        <w:rPr>
          <w:b/>
          <w:bCs/>
          <w:sz w:val="24"/>
          <w:szCs w:val="24"/>
        </w:rPr>
      </w:pPr>
      <w:r>
        <w:rPr>
          <w:sz w:val="24"/>
          <w:szCs w:val="24"/>
        </w:rPr>
        <w:tab/>
      </w:r>
    </w:p>
    <w:tbl>
      <w:tblPr>
        <w:tblW w:w="86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72"/>
        <w:gridCol w:w="2605"/>
        <w:gridCol w:w="1741"/>
        <w:gridCol w:w="2263"/>
      </w:tblGrid>
      <w:tr w:rsidR="000E1F2E" w14:paraId="337BB54D" w14:textId="77777777">
        <w:trPr>
          <w:trHeight w:val="320"/>
          <w:tblHeader/>
          <w:jc w:val="center"/>
        </w:trPr>
        <w:tc>
          <w:tcPr>
            <w:tcW w:w="2072" w:type="dxa"/>
            <w:tcBorders>
              <w:top w:val="nil"/>
              <w:left w:val="nil"/>
              <w:bottom w:val="single" w:sz="24" w:space="0" w:color="515151"/>
              <w:right w:val="nil"/>
            </w:tcBorders>
            <w:shd w:val="clear" w:color="auto" w:fill="auto"/>
            <w:tcMar>
              <w:top w:w="80" w:type="dxa"/>
              <w:left w:w="80" w:type="dxa"/>
              <w:bottom w:w="80" w:type="dxa"/>
              <w:right w:w="80" w:type="dxa"/>
            </w:tcMar>
          </w:tcPr>
          <w:p w14:paraId="25F52258" w14:textId="77777777" w:rsidR="000E1F2E" w:rsidRDefault="00E1617B">
            <w:pPr>
              <w:pStyle w:val="TableStyle1"/>
              <w:jc w:val="center"/>
            </w:pPr>
            <w:r>
              <w:rPr>
                <w:rFonts w:ascii="Times New Roman" w:hAnsi="Times New Roman"/>
                <w:i/>
                <w:iCs/>
                <w:sz w:val="24"/>
                <w:szCs w:val="24"/>
              </w:rPr>
              <w:t>Recommendation</w:t>
            </w:r>
          </w:p>
        </w:tc>
        <w:tc>
          <w:tcPr>
            <w:tcW w:w="2604" w:type="dxa"/>
            <w:tcBorders>
              <w:top w:val="nil"/>
              <w:left w:val="nil"/>
              <w:bottom w:val="single" w:sz="24" w:space="0" w:color="515151"/>
              <w:right w:val="nil"/>
            </w:tcBorders>
            <w:shd w:val="clear" w:color="auto" w:fill="auto"/>
            <w:tcMar>
              <w:top w:w="80" w:type="dxa"/>
              <w:left w:w="80" w:type="dxa"/>
              <w:bottom w:w="80" w:type="dxa"/>
              <w:right w:w="80" w:type="dxa"/>
            </w:tcMar>
          </w:tcPr>
          <w:p w14:paraId="48334B9B" w14:textId="77777777" w:rsidR="000E1F2E" w:rsidRDefault="00E1617B">
            <w:pPr>
              <w:pStyle w:val="TableStyle1"/>
              <w:jc w:val="center"/>
            </w:pPr>
            <w:r>
              <w:rPr>
                <w:rFonts w:ascii="Times New Roman" w:hAnsi="Times New Roman"/>
                <w:i/>
                <w:iCs/>
                <w:sz w:val="24"/>
                <w:szCs w:val="24"/>
              </w:rPr>
              <w:t>Subject Area</w:t>
            </w:r>
          </w:p>
        </w:tc>
        <w:tc>
          <w:tcPr>
            <w:tcW w:w="1741" w:type="dxa"/>
            <w:tcBorders>
              <w:top w:val="nil"/>
              <w:left w:val="nil"/>
              <w:bottom w:val="single" w:sz="24" w:space="0" w:color="515151"/>
              <w:right w:val="nil"/>
            </w:tcBorders>
            <w:shd w:val="clear" w:color="auto" w:fill="auto"/>
            <w:tcMar>
              <w:top w:w="80" w:type="dxa"/>
              <w:left w:w="80" w:type="dxa"/>
              <w:bottom w:w="80" w:type="dxa"/>
              <w:right w:w="80" w:type="dxa"/>
            </w:tcMar>
          </w:tcPr>
          <w:p w14:paraId="72E857A4" w14:textId="77777777" w:rsidR="000E1F2E" w:rsidRDefault="00E1617B">
            <w:pPr>
              <w:pStyle w:val="TableStyle1"/>
              <w:jc w:val="center"/>
            </w:pPr>
            <w:r>
              <w:rPr>
                <w:rFonts w:ascii="Times New Roman" w:hAnsi="Times New Roman"/>
                <w:i/>
                <w:iCs/>
                <w:sz w:val="24"/>
                <w:szCs w:val="24"/>
              </w:rPr>
              <w:t>Status</w:t>
            </w:r>
          </w:p>
        </w:tc>
        <w:tc>
          <w:tcPr>
            <w:tcW w:w="2262" w:type="dxa"/>
            <w:tcBorders>
              <w:top w:val="nil"/>
              <w:left w:val="nil"/>
              <w:bottom w:val="single" w:sz="24" w:space="0" w:color="515151"/>
              <w:right w:val="nil"/>
            </w:tcBorders>
            <w:shd w:val="clear" w:color="auto" w:fill="auto"/>
            <w:tcMar>
              <w:top w:w="80" w:type="dxa"/>
              <w:left w:w="80" w:type="dxa"/>
              <w:bottom w:w="80" w:type="dxa"/>
              <w:right w:w="80" w:type="dxa"/>
            </w:tcMar>
          </w:tcPr>
          <w:p w14:paraId="567722B7" w14:textId="77777777" w:rsidR="000E1F2E" w:rsidRDefault="00E1617B">
            <w:pPr>
              <w:pStyle w:val="TableStyle1"/>
              <w:jc w:val="center"/>
            </w:pPr>
            <w:r>
              <w:rPr>
                <w:rFonts w:ascii="Times New Roman" w:hAnsi="Times New Roman"/>
                <w:i/>
                <w:iCs/>
                <w:sz w:val="24"/>
                <w:szCs w:val="24"/>
              </w:rPr>
              <w:t>Date completed</w:t>
            </w:r>
          </w:p>
        </w:tc>
      </w:tr>
      <w:tr w:rsidR="000E1F2E" w14:paraId="4A20C6B9" w14:textId="77777777">
        <w:tblPrEx>
          <w:shd w:val="clear" w:color="auto" w:fill="auto"/>
        </w:tblPrEx>
        <w:trPr>
          <w:trHeight w:val="279"/>
          <w:jc w:val="center"/>
        </w:trPr>
        <w:tc>
          <w:tcPr>
            <w:tcW w:w="2072" w:type="dxa"/>
            <w:tcBorders>
              <w:top w:val="single" w:sz="24" w:space="0" w:color="515151"/>
              <w:left w:val="nil"/>
              <w:bottom w:val="nil"/>
              <w:right w:val="nil"/>
            </w:tcBorders>
            <w:shd w:val="clear" w:color="auto" w:fill="auto"/>
            <w:tcMar>
              <w:top w:w="80" w:type="dxa"/>
              <w:left w:w="80" w:type="dxa"/>
              <w:bottom w:w="80" w:type="dxa"/>
              <w:right w:w="80" w:type="dxa"/>
            </w:tcMar>
          </w:tcPr>
          <w:p w14:paraId="2BE71740" w14:textId="77777777" w:rsidR="000E1F2E" w:rsidRDefault="00E1617B">
            <w:pPr>
              <w:pStyle w:val="TableStyle1"/>
              <w:jc w:val="center"/>
            </w:pPr>
            <w:r>
              <w:rPr>
                <w:rFonts w:ascii="Arial" w:hAnsi="Arial"/>
              </w:rPr>
              <w:t>A-10-10</w:t>
            </w:r>
          </w:p>
        </w:tc>
        <w:tc>
          <w:tcPr>
            <w:tcW w:w="2604" w:type="dxa"/>
            <w:tcBorders>
              <w:top w:val="single" w:sz="24" w:space="0" w:color="515151"/>
              <w:left w:val="nil"/>
              <w:bottom w:val="nil"/>
              <w:right w:val="nil"/>
            </w:tcBorders>
            <w:shd w:val="clear" w:color="auto" w:fill="auto"/>
            <w:tcMar>
              <w:top w:w="80" w:type="dxa"/>
              <w:left w:w="80" w:type="dxa"/>
              <w:bottom w:w="80" w:type="dxa"/>
              <w:right w:w="80" w:type="dxa"/>
            </w:tcMar>
          </w:tcPr>
          <w:p w14:paraId="5B73C8A4" w14:textId="77777777" w:rsidR="000E1F2E" w:rsidRDefault="00E1617B">
            <w:pPr>
              <w:pStyle w:val="TableStyle2"/>
              <w:jc w:val="center"/>
            </w:pPr>
            <w:r>
              <w:rPr>
                <w:rFonts w:ascii="Arial" w:hAnsi="Arial"/>
              </w:rPr>
              <w:t>SOP’s and monitoring</w:t>
            </w:r>
          </w:p>
        </w:tc>
        <w:tc>
          <w:tcPr>
            <w:tcW w:w="1741" w:type="dxa"/>
            <w:tcBorders>
              <w:top w:val="single" w:sz="24" w:space="0" w:color="515151"/>
              <w:left w:val="nil"/>
              <w:bottom w:val="nil"/>
              <w:right w:val="nil"/>
            </w:tcBorders>
            <w:shd w:val="clear" w:color="auto" w:fill="auto"/>
            <w:tcMar>
              <w:top w:w="80" w:type="dxa"/>
              <w:left w:w="80" w:type="dxa"/>
              <w:bottom w:w="80" w:type="dxa"/>
              <w:right w:w="80" w:type="dxa"/>
            </w:tcMar>
          </w:tcPr>
          <w:p w14:paraId="03E525FB" w14:textId="77777777" w:rsidR="000E1F2E" w:rsidRDefault="00E1617B">
            <w:pPr>
              <w:pStyle w:val="TableStyle2"/>
              <w:jc w:val="center"/>
            </w:pPr>
            <w:r>
              <w:rPr>
                <w:rFonts w:ascii="Arial" w:hAnsi="Arial"/>
              </w:rPr>
              <w:t>CUA</w:t>
            </w:r>
          </w:p>
        </w:tc>
        <w:tc>
          <w:tcPr>
            <w:tcW w:w="2262" w:type="dxa"/>
            <w:tcBorders>
              <w:top w:val="single" w:sz="24" w:space="0" w:color="515151"/>
              <w:left w:val="nil"/>
              <w:bottom w:val="nil"/>
              <w:right w:val="nil"/>
            </w:tcBorders>
            <w:shd w:val="clear" w:color="auto" w:fill="auto"/>
            <w:tcMar>
              <w:top w:w="80" w:type="dxa"/>
              <w:left w:w="80" w:type="dxa"/>
              <w:bottom w:w="80" w:type="dxa"/>
              <w:right w:w="80" w:type="dxa"/>
            </w:tcMar>
          </w:tcPr>
          <w:p w14:paraId="08EEBEF7" w14:textId="77777777" w:rsidR="000E1F2E" w:rsidRDefault="00E1617B">
            <w:pPr>
              <w:pStyle w:val="TableStyle2"/>
              <w:jc w:val="center"/>
            </w:pPr>
            <w:r>
              <w:rPr>
                <w:rFonts w:ascii="Arial" w:hAnsi="Arial"/>
              </w:rPr>
              <w:t>1/11/2013</w:t>
            </w:r>
          </w:p>
        </w:tc>
      </w:tr>
      <w:tr w:rsidR="000E1F2E" w14:paraId="025F3C58" w14:textId="77777777">
        <w:tblPrEx>
          <w:shd w:val="clear" w:color="auto" w:fill="auto"/>
        </w:tblPrEx>
        <w:trPr>
          <w:trHeight w:val="279"/>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66747B80" w14:textId="77777777" w:rsidR="000E1F2E" w:rsidRDefault="00E1617B">
            <w:pPr>
              <w:pStyle w:val="TableStyle1"/>
              <w:jc w:val="center"/>
            </w:pPr>
            <w:r>
              <w:rPr>
                <w:rFonts w:ascii="Arial" w:hAnsi="Arial"/>
              </w:rPr>
              <w:t>A-10-11</w:t>
            </w:r>
          </w:p>
        </w:tc>
        <w:tc>
          <w:tcPr>
            <w:tcW w:w="2604" w:type="dxa"/>
            <w:tcBorders>
              <w:top w:val="nil"/>
              <w:left w:val="nil"/>
              <w:bottom w:val="nil"/>
              <w:right w:val="nil"/>
            </w:tcBorders>
            <w:shd w:val="clear" w:color="auto" w:fill="auto"/>
            <w:tcMar>
              <w:top w:w="80" w:type="dxa"/>
              <w:left w:w="80" w:type="dxa"/>
              <w:bottom w:w="80" w:type="dxa"/>
              <w:right w:w="80" w:type="dxa"/>
            </w:tcMar>
          </w:tcPr>
          <w:p w14:paraId="1DB2C49B" w14:textId="77777777" w:rsidR="000E1F2E" w:rsidRDefault="00E1617B">
            <w:pPr>
              <w:pStyle w:val="TableStyle2"/>
              <w:jc w:val="center"/>
            </w:pPr>
            <w:r>
              <w:rPr>
                <w:rFonts w:ascii="Arial" w:hAnsi="Arial"/>
              </w:rPr>
              <w:t>Low speed caution</w:t>
            </w:r>
          </w:p>
        </w:tc>
        <w:tc>
          <w:tcPr>
            <w:tcW w:w="1741" w:type="dxa"/>
            <w:tcBorders>
              <w:top w:val="nil"/>
              <w:left w:val="nil"/>
              <w:bottom w:val="nil"/>
              <w:right w:val="nil"/>
            </w:tcBorders>
            <w:shd w:val="clear" w:color="auto" w:fill="auto"/>
            <w:tcMar>
              <w:top w:w="80" w:type="dxa"/>
              <w:left w:w="80" w:type="dxa"/>
              <w:bottom w:w="80" w:type="dxa"/>
              <w:right w:w="80" w:type="dxa"/>
            </w:tcMar>
          </w:tcPr>
          <w:p w14:paraId="6E2D1F62" w14:textId="77777777" w:rsidR="000E1F2E" w:rsidRDefault="00E1617B">
            <w:pPr>
              <w:pStyle w:val="TableStyle2"/>
              <w:jc w:val="center"/>
            </w:pPr>
            <w:r>
              <w:rPr>
                <w:rFonts w:ascii="Arial" w:hAnsi="Arial"/>
              </w:rPr>
              <w:t>CAA</w:t>
            </w:r>
          </w:p>
        </w:tc>
        <w:tc>
          <w:tcPr>
            <w:tcW w:w="2262" w:type="dxa"/>
            <w:tcBorders>
              <w:top w:val="nil"/>
              <w:left w:val="nil"/>
              <w:bottom w:val="nil"/>
              <w:right w:val="nil"/>
            </w:tcBorders>
            <w:shd w:val="clear" w:color="auto" w:fill="auto"/>
            <w:tcMar>
              <w:top w:w="80" w:type="dxa"/>
              <w:left w:w="80" w:type="dxa"/>
              <w:bottom w:w="80" w:type="dxa"/>
              <w:right w:w="80" w:type="dxa"/>
            </w:tcMar>
          </w:tcPr>
          <w:p w14:paraId="5419F1D4" w14:textId="77777777" w:rsidR="000E1F2E" w:rsidRDefault="00E1617B">
            <w:pPr>
              <w:pStyle w:val="TableStyle2"/>
              <w:jc w:val="center"/>
            </w:pPr>
            <w:r>
              <w:rPr>
                <w:rFonts w:ascii="Arial" w:hAnsi="Arial"/>
              </w:rPr>
              <w:t>12/03/2013</w:t>
            </w:r>
          </w:p>
        </w:tc>
      </w:tr>
      <w:tr w:rsidR="000E1F2E" w14:paraId="53D8DEC0" w14:textId="77777777">
        <w:tblPrEx>
          <w:shd w:val="clear" w:color="auto" w:fill="auto"/>
        </w:tblPrEx>
        <w:trPr>
          <w:trHeight w:val="433"/>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1A9AA5C8" w14:textId="77777777" w:rsidR="000E1F2E" w:rsidRDefault="00E1617B">
            <w:pPr>
              <w:pStyle w:val="TableStyle1"/>
              <w:jc w:val="center"/>
            </w:pPr>
            <w:r>
              <w:rPr>
                <w:rFonts w:ascii="Arial" w:hAnsi="Arial"/>
              </w:rPr>
              <w:t>A-10-12</w:t>
            </w:r>
          </w:p>
        </w:tc>
        <w:tc>
          <w:tcPr>
            <w:tcW w:w="2604" w:type="dxa"/>
            <w:tcBorders>
              <w:top w:val="nil"/>
              <w:left w:val="nil"/>
              <w:bottom w:val="nil"/>
              <w:right w:val="nil"/>
            </w:tcBorders>
            <w:shd w:val="clear" w:color="auto" w:fill="auto"/>
            <w:tcMar>
              <w:top w:w="80" w:type="dxa"/>
              <w:left w:w="80" w:type="dxa"/>
              <w:bottom w:w="80" w:type="dxa"/>
              <w:right w:w="80" w:type="dxa"/>
            </w:tcMar>
          </w:tcPr>
          <w:p w14:paraId="39D6AAC6" w14:textId="77777777" w:rsidR="000E1F2E" w:rsidRDefault="00E1617B">
            <w:pPr>
              <w:pStyle w:val="TableStyle2"/>
              <w:jc w:val="center"/>
            </w:pPr>
            <w:r>
              <w:rPr>
                <w:rFonts w:ascii="Arial" w:hAnsi="Arial"/>
              </w:rPr>
              <w:t>Redundant low speed warnings</w:t>
            </w:r>
          </w:p>
        </w:tc>
        <w:tc>
          <w:tcPr>
            <w:tcW w:w="1741" w:type="dxa"/>
            <w:tcBorders>
              <w:top w:val="nil"/>
              <w:left w:val="nil"/>
              <w:bottom w:val="nil"/>
              <w:right w:val="nil"/>
            </w:tcBorders>
            <w:shd w:val="clear" w:color="auto" w:fill="auto"/>
            <w:tcMar>
              <w:top w:w="80" w:type="dxa"/>
              <w:left w:w="80" w:type="dxa"/>
              <w:bottom w:w="80" w:type="dxa"/>
              <w:right w:w="80" w:type="dxa"/>
            </w:tcMar>
          </w:tcPr>
          <w:p w14:paraId="7B62327C" w14:textId="77777777" w:rsidR="000E1F2E" w:rsidRDefault="00E1617B">
            <w:pPr>
              <w:pStyle w:val="TableStyle2"/>
              <w:jc w:val="center"/>
            </w:pPr>
            <w:r>
              <w:rPr>
                <w:rFonts w:ascii="Arial" w:hAnsi="Arial"/>
              </w:rPr>
              <w:t>OAR</w:t>
            </w:r>
          </w:p>
        </w:tc>
        <w:tc>
          <w:tcPr>
            <w:tcW w:w="2262" w:type="dxa"/>
            <w:tcBorders>
              <w:top w:val="nil"/>
              <w:left w:val="nil"/>
              <w:bottom w:val="nil"/>
              <w:right w:val="nil"/>
            </w:tcBorders>
            <w:shd w:val="clear" w:color="auto" w:fill="auto"/>
            <w:tcMar>
              <w:top w:w="80" w:type="dxa"/>
              <w:left w:w="80" w:type="dxa"/>
              <w:bottom w:w="80" w:type="dxa"/>
              <w:right w:w="80" w:type="dxa"/>
            </w:tcMar>
          </w:tcPr>
          <w:p w14:paraId="0137C6F9" w14:textId="77777777" w:rsidR="000E1F2E" w:rsidRDefault="000E1F2E"/>
        </w:tc>
      </w:tr>
      <w:tr w:rsidR="000E1F2E" w14:paraId="00AA7A3F" w14:textId="77777777">
        <w:tblPrEx>
          <w:shd w:val="clear" w:color="auto" w:fill="auto"/>
        </w:tblPrEx>
        <w:trPr>
          <w:trHeight w:val="433"/>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41E6509B" w14:textId="77777777" w:rsidR="000E1F2E" w:rsidRDefault="00E1617B">
            <w:pPr>
              <w:pStyle w:val="TableStyle1"/>
              <w:jc w:val="center"/>
            </w:pPr>
            <w:r>
              <w:rPr>
                <w:rFonts w:ascii="Arial" w:hAnsi="Arial"/>
              </w:rPr>
              <w:t>A-10-13</w:t>
            </w:r>
          </w:p>
        </w:tc>
        <w:tc>
          <w:tcPr>
            <w:tcW w:w="2604" w:type="dxa"/>
            <w:tcBorders>
              <w:top w:val="nil"/>
              <w:left w:val="nil"/>
              <w:bottom w:val="nil"/>
              <w:right w:val="nil"/>
            </w:tcBorders>
            <w:shd w:val="clear" w:color="auto" w:fill="auto"/>
            <w:tcMar>
              <w:top w:w="80" w:type="dxa"/>
              <w:left w:w="80" w:type="dxa"/>
              <w:bottom w:w="80" w:type="dxa"/>
              <w:right w:w="80" w:type="dxa"/>
            </w:tcMar>
          </w:tcPr>
          <w:p w14:paraId="3BAF1BFB" w14:textId="77777777" w:rsidR="000E1F2E" w:rsidRDefault="00E1617B">
            <w:pPr>
              <w:pStyle w:val="TableStyle2"/>
              <w:jc w:val="center"/>
            </w:pPr>
            <w:r>
              <w:rPr>
                <w:rFonts w:ascii="Arial" w:hAnsi="Arial"/>
              </w:rPr>
              <w:t>Captain leadership training AC</w:t>
            </w:r>
          </w:p>
        </w:tc>
        <w:tc>
          <w:tcPr>
            <w:tcW w:w="1741" w:type="dxa"/>
            <w:tcBorders>
              <w:top w:val="nil"/>
              <w:left w:val="nil"/>
              <w:bottom w:val="nil"/>
              <w:right w:val="nil"/>
            </w:tcBorders>
            <w:shd w:val="clear" w:color="auto" w:fill="auto"/>
            <w:tcMar>
              <w:top w:w="80" w:type="dxa"/>
              <w:left w:w="80" w:type="dxa"/>
              <w:bottom w:w="80" w:type="dxa"/>
              <w:right w:w="80" w:type="dxa"/>
            </w:tcMar>
          </w:tcPr>
          <w:p w14:paraId="47D14593" w14:textId="77777777" w:rsidR="000E1F2E" w:rsidRDefault="00E1617B">
            <w:pPr>
              <w:pStyle w:val="TableStyle2"/>
              <w:jc w:val="center"/>
            </w:pPr>
            <w:r>
              <w:rPr>
                <w:rFonts w:ascii="Arial" w:hAnsi="Arial"/>
              </w:rPr>
              <w:t>OUR</w:t>
            </w:r>
          </w:p>
        </w:tc>
        <w:tc>
          <w:tcPr>
            <w:tcW w:w="2262" w:type="dxa"/>
            <w:tcBorders>
              <w:top w:val="nil"/>
              <w:left w:val="nil"/>
              <w:bottom w:val="nil"/>
              <w:right w:val="nil"/>
            </w:tcBorders>
            <w:shd w:val="clear" w:color="auto" w:fill="auto"/>
            <w:tcMar>
              <w:top w:w="80" w:type="dxa"/>
              <w:left w:w="80" w:type="dxa"/>
              <w:bottom w:w="80" w:type="dxa"/>
              <w:right w:w="80" w:type="dxa"/>
            </w:tcMar>
          </w:tcPr>
          <w:p w14:paraId="4266E6A1" w14:textId="77777777" w:rsidR="000E1F2E" w:rsidRDefault="000E1F2E"/>
        </w:tc>
      </w:tr>
      <w:tr w:rsidR="000E1F2E" w14:paraId="289136B1" w14:textId="77777777">
        <w:tblPrEx>
          <w:shd w:val="clear" w:color="auto" w:fill="auto"/>
        </w:tblPrEx>
        <w:trPr>
          <w:trHeight w:val="279"/>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27206881" w14:textId="77777777" w:rsidR="000E1F2E" w:rsidRDefault="00E1617B">
            <w:pPr>
              <w:pStyle w:val="TableStyle1"/>
              <w:jc w:val="center"/>
            </w:pPr>
            <w:r>
              <w:rPr>
                <w:rFonts w:ascii="Arial" w:hAnsi="Arial"/>
              </w:rPr>
              <w:t>A-10-14</w:t>
            </w:r>
          </w:p>
        </w:tc>
        <w:tc>
          <w:tcPr>
            <w:tcW w:w="2604" w:type="dxa"/>
            <w:tcBorders>
              <w:top w:val="nil"/>
              <w:left w:val="nil"/>
              <w:bottom w:val="nil"/>
              <w:right w:val="nil"/>
            </w:tcBorders>
            <w:shd w:val="clear" w:color="auto" w:fill="auto"/>
            <w:tcMar>
              <w:top w:w="80" w:type="dxa"/>
              <w:left w:w="80" w:type="dxa"/>
              <w:bottom w:w="80" w:type="dxa"/>
              <w:right w:w="80" w:type="dxa"/>
            </w:tcMar>
          </w:tcPr>
          <w:p w14:paraId="2155D763" w14:textId="77777777" w:rsidR="000E1F2E" w:rsidRDefault="00E1617B">
            <w:pPr>
              <w:pStyle w:val="TableStyle2"/>
              <w:jc w:val="center"/>
            </w:pPr>
            <w:r>
              <w:rPr>
                <w:rFonts w:ascii="Arial" w:hAnsi="Arial"/>
              </w:rPr>
              <w:t>Captain leadership training</w:t>
            </w:r>
          </w:p>
        </w:tc>
        <w:tc>
          <w:tcPr>
            <w:tcW w:w="1741" w:type="dxa"/>
            <w:tcBorders>
              <w:top w:val="nil"/>
              <w:left w:val="nil"/>
              <w:bottom w:val="nil"/>
              <w:right w:val="nil"/>
            </w:tcBorders>
            <w:shd w:val="clear" w:color="auto" w:fill="auto"/>
            <w:tcMar>
              <w:top w:w="80" w:type="dxa"/>
              <w:left w:w="80" w:type="dxa"/>
              <w:bottom w:w="80" w:type="dxa"/>
              <w:right w:w="80" w:type="dxa"/>
            </w:tcMar>
          </w:tcPr>
          <w:p w14:paraId="7534AA9F" w14:textId="77777777" w:rsidR="000E1F2E" w:rsidRDefault="00E1617B">
            <w:pPr>
              <w:pStyle w:val="TableStyle2"/>
              <w:jc w:val="center"/>
            </w:pPr>
            <w:r>
              <w:rPr>
                <w:rFonts w:ascii="Arial" w:hAnsi="Arial"/>
              </w:rPr>
              <w:t>OUR</w:t>
            </w:r>
          </w:p>
        </w:tc>
        <w:tc>
          <w:tcPr>
            <w:tcW w:w="2262" w:type="dxa"/>
            <w:tcBorders>
              <w:top w:val="nil"/>
              <w:left w:val="nil"/>
              <w:bottom w:val="nil"/>
              <w:right w:val="nil"/>
            </w:tcBorders>
            <w:shd w:val="clear" w:color="auto" w:fill="auto"/>
            <w:tcMar>
              <w:top w:w="80" w:type="dxa"/>
              <w:left w:w="80" w:type="dxa"/>
              <w:bottom w:w="80" w:type="dxa"/>
              <w:right w:w="80" w:type="dxa"/>
            </w:tcMar>
          </w:tcPr>
          <w:p w14:paraId="00827A0F" w14:textId="77777777" w:rsidR="000E1F2E" w:rsidRDefault="000E1F2E"/>
        </w:tc>
      </w:tr>
      <w:tr w:rsidR="000E1F2E" w14:paraId="560C7443" w14:textId="77777777">
        <w:tblPrEx>
          <w:shd w:val="clear" w:color="auto" w:fill="auto"/>
        </w:tblPrEx>
        <w:trPr>
          <w:trHeight w:val="433"/>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65EBE257" w14:textId="77777777" w:rsidR="000E1F2E" w:rsidRDefault="00E1617B">
            <w:pPr>
              <w:pStyle w:val="TableStyle1"/>
              <w:jc w:val="center"/>
            </w:pPr>
            <w:r>
              <w:rPr>
                <w:rFonts w:ascii="Arial" w:hAnsi="Arial"/>
              </w:rPr>
              <w:t>A-10-15</w:t>
            </w:r>
          </w:p>
        </w:tc>
        <w:tc>
          <w:tcPr>
            <w:tcW w:w="2604" w:type="dxa"/>
            <w:tcBorders>
              <w:top w:val="nil"/>
              <w:left w:val="nil"/>
              <w:bottom w:val="nil"/>
              <w:right w:val="nil"/>
            </w:tcBorders>
            <w:shd w:val="clear" w:color="auto" w:fill="auto"/>
            <w:tcMar>
              <w:top w:w="80" w:type="dxa"/>
              <w:left w:w="80" w:type="dxa"/>
              <w:bottom w:w="80" w:type="dxa"/>
              <w:right w:w="80" w:type="dxa"/>
            </w:tcMar>
          </w:tcPr>
          <w:p w14:paraId="2557183C" w14:textId="77777777" w:rsidR="000E1F2E" w:rsidRDefault="00E1617B">
            <w:pPr>
              <w:pStyle w:val="TableStyle2"/>
              <w:jc w:val="center"/>
            </w:pPr>
            <w:r>
              <w:rPr>
                <w:rFonts w:ascii="Arial" w:hAnsi="Arial"/>
              </w:rPr>
              <w:t>Professionalism guidance using media</w:t>
            </w:r>
          </w:p>
        </w:tc>
        <w:tc>
          <w:tcPr>
            <w:tcW w:w="1741" w:type="dxa"/>
            <w:tcBorders>
              <w:top w:val="nil"/>
              <w:left w:val="nil"/>
              <w:bottom w:val="nil"/>
              <w:right w:val="nil"/>
            </w:tcBorders>
            <w:shd w:val="clear" w:color="auto" w:fill="auto"/>
            <w:tcMar>
              <w:top w:w="80" w:type="dxa"/>
              <w:left w:w="80" w:type="dxa"/>
              <w:bottom w:w="80" w:type="dxa"/>
              <w:right w:w="80" w:type="dxa"/>
            </w:tcMar>
          </w:tcPr>
          <w:p w14:paraId="194971E4" w14:textId="77777777" w:rsidR="000E1F2E" w:rsidRDefault="00E1617B">
            <w:pPr>
              <w:pStyle w:val="TableStyle2"/>
              <w:jc w:val="center"/>
            </w:pPr>
            <w:r>
              <w:rPr>
                <w:rFonts w:ascii="Arial" w:hAnsi="Arial"/>
              </w:rPr>
              <w:t>OUR</w:t>
            </w:r>
          </w:p>
        </w:tc>
        <w:tc>
          <w:tcPr>
            <w:tcW w:w="2262" w:type="dxa"/>
            <w:tcBorders>
              <w:top w:val="nil"/>
              <w:left w:val="nil"/>
              <w:bottom w:val="nil"/>
              <w:right w:val="nil"/>
            </w:tcBorders>
            <w:shd w:val="clear" w:color="auto" w:fill="auto"/>
            <w:tcMar>
              <w:top w:w="80" w:type="dxa"/>
              <w:left w:w="80" w:type="dxa"/>
              <w:bottom w:w="80" w:type="dxa"/>
              <w:right w:w="80" w:type="dxa"/>
            </w:tcMar>
          </w:tcPr>
          <w:p w14:paraId="31A3053B" w14:textId="77777777" w:rsidR="000E1F2E" w:rsidRDefault="000E1F2E"/>
        </w:tc>
      </w:tr>
      <w:tr w:rsidR="000E1F2E" w14:paraId="257D184F" w14:textId="77777777">
        <w:tblPrEx>
          <w:shd w:val="clear" w:color="auto" w:fill="auto"/>
        </w:tblPrEx>
        <w:trPr>
          <w:trHeight w:val="279"/>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36D50149" w14:textId="77777777" w:rsidR="000E1F2E" w:rsidRDefault="00E1617B">
            <w:pPr>
              <w:pStyle w:val="TableStyle1"/>
              <w:jc w:val="center"/>
            </w:pPr>
            <w:r>
              <w:rPr>
                <w:rFonts w:ascii="Arial" w:hAnsi="Arial"/>
              </w:rPr>
              <w:t>A-10-16</w:t>
            </w:r>
          </w:p>
        </w:tc>
        <w:tc>
          <w:tcPr>
            <w:tcW w:w="2604" w:type="dxa"/>
            <w:tcBorders>
              <w:top w:val="nil"/>
              <w:left w:val="nil"/>
              <w:bottom w:val="nil"/>
              <w:right w:val="nil"/>
            </w:tcBorders>
            <w:shd w:val="clear" w:color="auto" w:fill="auto"/>
            <w:tcMar>
              <w:top w:w="80" w:type="dxa"/>
              <w:left w:w="80" w:type="dxa"/>
              <w:bottom w:w="80" w:type="dxa"/>
              <w:right w:w="80" w:type="dxa"/>
            </w:tcMar>
          </w:tcPr>
          <w:p w14:paraId="249F2A48" w14:textId="77777777" w:rsidR="000E1F2E" w:rsidRDefault="00E1617B">
            <w:pPr>
              <w:pStyle w:val="TableStyle2"/>
              <w:jc w:val="center"/>
            </w:pPr>
            <w:r>
              <w:rPr>
                <w:rFonts w:ascii="Arial" w:hAnsi="Arial"/>
              </w:rPr>
              <w:t>Commuting fatigue risk</w:t>
            </w:r>
          </w:p>
        </w:tc>
        <w:tc>
          <w:tcPr>
            <w:tcW w:w="1741" w:type="dxa"/>
            <w:tcBorders>
              <w:top w:val="nil"/>
              <w:left w:val="nil"/>
              <w:bottom w:val="nil"/>
              <w:right w:val="nil"/>
            </w:tcBorders>
            <w:shd w:val="clear" w:color="auto" w:fill="auto"/>
            <w:tcMar>
              <w:top w:w="80" w:type="dxa"/>
              <w:left w:w="80" w:type="dxa"/>
              <w:bottom w:w="80" w:type="dxa"/>
              <w:right w:w="80" w:type="dxa"/>
            </w:tcMar>
          </w:tcPr>
          <w:p w14:paraId="0925E10E" w14:textId="77777777" w:rsidR="000E1F2E" w:rsidRDefault="00E1617B">
            <w:pPr>
              <w:pStyle w:val="TableStyle2"/>
              <w:jc w:val="center"/>
            </w:pPr>
            <w:r>
              <w:rPr>
                <w:rFonts w:ascii="Arial" w:hAnsi="Arial"/>
              </w:rPr>
              <w:t>CUA</w:t>
            </w:r>
          </w:p>
        </w:tc>
        <w:tc>
          <w:tcPr>
            <w:tcW w:w="2262" w:type="dxa"/>
            <w:tcBorders>
              <w:top w:val="nil"/>
              <w:left w:val="nil"/>
              <w:bottom w:val="nil"/>
              <w:right w:val="nil"/>
            </w:tcBorders>
            <w:shd w:val="clear" w:color="auto" w:fill="auto"/>
            <w:tcMar>
              <w:top w:w="80" w:type="dxa"/>
              <w:left w:w="80" w:type="dxa"/>
              <w:bottom w:w="80" w:type="dxa"/>
              <w:right w:w="80" w:type="dxa"/>
            </w:tcMar>
          </w:tcPr>
          <w:p w14:paraId="0D3781D9" w14:textId="77777777" w:rsidR="000E1F2E" w:rsidRDefault="00E1617B">
            <w:pPr>
              <w:pStyle w:val="TableStyle2"/>
              <w:jc w:val="center"/>
            </w:pPr>
            <w:r>
              <w:rPr>
                <w:rFonts w:ascii="Arial" w:hAnsi="Arial"/>
              </w:rPr>
              <w:t>12/27/2013</w:t>
            </w:r>
          </w:p>
        </w:tc>
      </w:tr>
      <w:tr w:rsidR="000E1F2E" w14:paraId="487B2766" w14:textId="77777777">
        <w:tblPrEx>
          <w:shd w:val="clear" w:color="auto" w:fill="auto"/>
        </w:tblPrEx>
        <w:trPr>
          <w:trHeight w:val="433"/>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4B1A4433" w14:textId="77777777" w:rsidR="000E1F2E" w:rsidRDefault="00E1617B">
            <w:pPr>
              <w:pStyle w:val="TableStyle1"/>
              <w:jc w:val="center"/>
            </w:pPr>
            <w:r>
              <w:rPr>
                <w:rFonts w:ascii="Arial" w:hAnsi="Arial"/>
              </w:rPr>
              <w:t>A-10-17</w:t>
            </w:r>
          </w:p>
        </w:tc>
        <w:tc>
          <w:tcPr>
            <w:tcW w:w="2604" w:type="dxa"/>
            <w:tcBorders>
              <w:top w:val="nil"/>
              <w:left w:val="nil"/>
              <w:bottom w:val="nil"/>
              <w:right w:val="nil"/>
            </w:tcBorders>
            <w:shd w:val="clear" w:color="auto" w:fill="auto"/>
            <w:tcMar>
              <w:top w:w="80" w:type="dxa"/>
              <w:left w:w="80" w:type="dxa"/>
              <w:bottom w:w="80" w:type="dxa"/>
              <w:right w:w="80" w:type="dxa"/>
            </w:tcMar>
          </w:tcPr>
          <w:p w14:paraId="49B72687" w14:textId="77777777" w:rsidR="000E1F2E" w:rsidRDefault="00E1617B">
            <w:pPr>
              <w:pStyle w:val="TableStyle2"/>
              <w:jc w:val="center"/>
            </w:pPr>
            <w:r>
              <w:rPr>
                <w:rFonts w:ascii="Arial" w:hAnsi="Arial"/>
              </w:rPr>
              <w:t>Document pilot training records</w:t>
            </w:r>
          </w:p>
        </w:tc>
        <w:tc>
          <w:tcPr>
            <w:tcW w:w="1741" w:type="dxa"/>
            <w:tcBorders>
              <w:top w:val="nil"/>
              <w:left w:val="nil"/>
              <w:bottom w:val="nil"/>
              <w:right w:val="nil"/>
            </w:tcBorders>
            <w:shd w:val="clear" w:color="auto" w:fill="auto"/>
            <w:tcMar>
              <w:top w:w="80" w:type="dxa"/>
              <w:left w:w="80" w:type="dxa"/>
              <w:bottom w:w="80" w:type="dxa"/>
              <w:right w:w="80" w:type="dxa"/>
            </w:tcMar>
          </w:tcPr>
          <w:p w14:paraId="124DE642" w14:textId="77777777" w:rsidR="000E1F2E" w:rsidRDefault="00E1617B">
            <w:pPr>
              <w:pStyle w:val="TableStyle2"/>
              <w:jc w:val="center"/>
            </w:pPr>
            <w:r>
              <w:rPr>
                <w:rFonts w:ascii="Arial" w:hAnsi="Arial"/>
              </w:rPr>
              <w:t>OAR</w:t>
            </w:r>
          </w:p>
        </w:tc>
        <w:tc>
          <w:tcPr>
            <w:tcW w:w="2262" w:type="dxa"/>
            <w:tcBorders>
              <w:top w:val="nil"/>
              <w:left w:val="nil"/>
              <w:bottom w:val="nil"/>
              <w:right w:val="nil"/>
            </w:tcBorders>
            <w:shd w:val="clear" w:color="auto" w:fill="auto"/>
            <w:tcMar>
              <w:top w:w="80" w:type="dxa"/>
              <w:left w:w="80" w:type="dxa"/>
              <w:bottom w:w="80" w:type="dxa"/>
              <w:right w:w="80" w:type="dxa"/>
            </w:tcMar>
          </w:tcPr>
          <w:p w14:paraId="518723F4" w14:textId="77777777" w:rsidR="000E1F2E" w:rsidRDefault="000E1F2E"/>
        </w:tc>
      </w:tr>
      <w:tr w:rsidR="000E1F2E" w14:paraId="3818ED7C" w14:textId="77777777">
        <w:tblPrEx>
          <w:shd w:val="clear" w:color="auto" w:fill="auto"/>
        </w:tblPrEx>
        <w:trPr>
          <w:trHeight w:val="433"/>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37A35324" w14:textId="77777777" w:rsidR="000E1F2E" w:rsidRDefault="00E1617B">
            <w:pPr>
              <w:pStyle w:val="TableStyle1"/>
              <w:jc w:val="center"/>
            </w:pPr>
            <w:r>
              <w:rPr>
                <w:rFonts w:ascii="Arial" w:hAnsi="Arial"/>
              </w:rPr>
              <w:t>A-10-18</w:t>
            </w:r>
          </w:p>
        </w:tc>
        <w:tc>
          <w:tcPr>
            <w:tcW w:w="2604" w:type="dxa"/>
            <w:tcBorders>
              <w:top w:val="nil"/>
              <w:left w:val="nil"/>
              <w:bottom w:val="nil"/>
              <w:right w:val="nil"/>
            </w:tcBorders>
            <w:shd w:val="clear" w:color="auto" w:fill="auto"/>
            <w:tcMar>
              <w:top w:w="80" w:type="dxa"/>
              <w:left w:w="80" w:type="dxa"/>
              <w:bottom w:w="80" w:type="dxa"/>
              <w:right w:w="80" w:type="dxa"/>
            </w:tcMar>
          </w:tcPr>
          <w:p w14:paraId="0FB952D0" w14:textId="77777777" w:rsidR="000E1F2E" w:rsidRDefault="00E1617B">
            <w:pPr>
              <w:pStyle w:val="TableStyle2"/>
              <w:jc w:val="center"/>
            </w:pPr>
            <w:r>
              <w:rPr>
                <w:rFonts w:ascii="Arial" w:hAnsi="Arial"/>
              </w:rPr>
              <w:t>Use training records for remediation</w:t>
            </w:r>
          </w:p>
        </w:tc>
        <w:tc>
          <w:tcPr>
            <w:tcW w:w="1741" w:type="dxa"/>
            <w:tcBorders>
              <w:top w:val="nil"/>
              <w:left w:val="nil"/>
              <w:bottom w:val="nil"/>
              <w:right w:val="nil"/>
            </w:tcBorders>
            <w:shd w:val="clear" w:color="auto" w:fill="auto"/>
            <w:tcMar>
              <w:top w:w="80" w:type="dxa"/>
              <w:left w:w="80" w:type="dxa"/>
              <w:bottom w:w="80" w:type="dxa"/>
              <w:right w:w="80" w:type="dxa"/>
            </w:tcMar>
          </w:tcPr>
          <w:p w14:paraId="53AABB05" w14:textId="77777777" w:rsidR="000E1F2E" w:rsidRDefault="00E1617B">
            <w:pPr>
              <w:pStyle w:val="TableStyle2"/>
              <w:jc w:val="center"/>
            </w:pPr>
            <w:r>
              <w:rPr>
                <w:rFonts w:ascii="Arial" w:hAnsi="Arial"/>
              </w:rPr>
              <w:t>OAR</w:t>
            </w:r>
          </w:p>
        </w:tc>
        <w:tc>
          <w:tcPr>
            <w:tcW w:w="2262" w:type="dxa"/>
            <w:tcBorders>
              <w:top w:val="nil"/>
              <w:left w:val="nil"/>
              <w:bottom w:val="nil"/>
              <w:right w:val="nil"/>
            </w:tcBorders>
            <w:shd w:val="clear" w:color="auto" w:fill="auto"/>
            <w:tcMar>
              <w:top w:w="80" w:type="dxa"/>
              <w:left w:w="80" w:type="dxa"/>
              <w:bottom w:w="80" w:type="dxa"/>
              <w:right w:w="80" w:type="dxa"/>
            </w:tcMar>
          </w:tcPr>
          <w:p w14:paraId="57D59744" w14:textId="77777777" w:rsidR="000E1F2E" w:rsidRDefault="000E1F2E"/>
        </w:tc>
      </w:tr>
      <w:tr w:rsidR="000E1F2E" w14:paraId="5ECC3ED8" w14:textId="77777777">
        <w:tblPrEx>
          <w:shd w:val="clear" w:color="auto" w:fill="auto"/>
        </w:tblPrEx>
        <w:trPr>
          <w:trHeight w:val="433"/>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2F5B8976" w14:textId="77777777" w:rsidR="000E1F2E" w:rsidRDefault="00E1617B">
            <w:pPr>
              <w:pStyle w:val="TableStyle1"/>
              <w:jc w:val="center"/>
            </w:pPr>
            <w:r>
              <w:rPr>
                <w:rFonts w:ascii="Arial" w:hAnsi="Arial"/>
              </w:rPr>
              <w:t>A-10-19</w:t>
            </w:r>
          </w:p>
        </w:tc>
        <w:tc>
          <w:tcPr>
            <w:tcW w:w="2604" w:type="dxa"/>
            <w:tcBorders>
              <w:top w:val="nil"/>
              <w:left w:val="nil"/>
              <w:bottom w:val="nil"/>
              <w:right w:val="nil"/>
            </w:tcBorders>
            <w:shd w:val="clear" w:color="auto" w:fill="auto"/>
            <w:tcMar>
              <w:top w:w="80" w:type="dxa"/>
              <w:left w:w="80" w:type="dxa"/>
              <w:bottom w:w="80" w:type="dxa"/>
              <w:right w:w="80" w:type="dxa"/>
            </w:tcMar>
          </w:tcPr>
          <w:p w14:paraId="65B53E6B" w14:textId="77777777" w:rsidR="000E1F2E" w:rsidRDefault="00E1617B">
            <w:pPr>
              <w:pStyle w:val="TableStyle2"/>
              <w:jc w:val="center"/>
            </w:pPr>
            <w:r>
              <w:rPr>
                <w:rFonts w:ascii="Arial" w:hAnsi="Arial"/>
              </w:rPr>
              <w:t>Use training records for PRIA</w:t>
            </w:r>
          </w:p>
        </w:tc>
        <w:tc>
          <w:tcPr>
            <w:tcW w:w="1741" w:type="dxa"/>
            <w:tcBorders>
              <w:top w:val="nil"/>
              <w:left w:val="nil"/>
              <w:bottom w:val="nil"/>
              <w:right w:val="nil"/>
            </w:tcBorders>
            <w:shd w:val="clear" w:color="auto" w:fill="auto"/>
            <w:tcMar>
              <w:top w:w="80" w:type="dxa"/>
              <w:left w:w="80" w:type="dxa"/>
              <w:bottom w:w="80" w:type="dxa"/>
              <w:right w:w="80" w:type="dxa"/>
            </w:tcMar>
          </w:tcPr>
          <w:p w14:paraId="752884CE" w14:textId="77777777" w:rsidR="000E1F2E" w:rsidRDefault="00E1617B">
            <w:pPr>
              <w:pStyle w:val="TableStyle2"/>
              <w:jc w:val="center"/>
            </w:pPr>
            <w:r>
              <w:rPr>
                <w:rFonts w:ascii="Arial" w:hAnsi="Arial"/>
              </w:rPr>
              <w:t>OAR</w:t>
            </w:r>
          </w:p>
        </w:tc>
        <w:tc>
          <w:tcPr>
            <w:tcW w:w="2262" w:type="dxa"/>
            <w:tcBorders>
              <w:top w:val="nil"/>
              <w:left w:val="nil"/>
              <w:bottom w:val="nil"/>
              <w:right w:val="nil"/>
            </w:tcBorders>
            <w:shd w:val="clear" w:color="auto" w:fill="auto"/>
            <w:tcMar>
              <w:top w:w="80" w:type="dxa"/>
              <w:left w:w="80" w:type="dxa"/>
              <w:bottom w:w="80" w:type="dxa"/>
              <w:right w:w="80" w:type="dxa"/>
            </w:tcMar>
          </w:tcPr>
          <w:p w14:paraId="2E7BCF4B" w14:textId="77777777" w:rsidR="000E1F2E" w:rsidRDefault="000E1F2E"/>
        </w:tc>
      </w:tr>
      <w:tr w:rsidR="000E1F2E" w14:paraId="2BED7F7B" w14:textId="77777777">
        <w:tblPrEx>
          <w:shd w:val="clear" w:color="auto" w:fill="auto"/>
        </w:tblPrEx>
        <w:trPr>
          <w:trHeight w:val="279"/>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5C93D310" w14:textId="77777777" w:rsidR="000E1F2E" w:rsidRDefault="00E1617B">
            <w:pPr>
              <w:pStyle w:val="TableStyle1"/>
              <w:jc w:val="center"/>
            </w:pPr>
            <w:r>
              <w:rPr>
                <w:rFonts w:ascii="Arial" w:hAnsi="Arial"/>
              </w:rPr>
              <w:t>A-10-20</w:t>
            </w:r>
          </w:p>
        </w:tc>
        <w:tc>
          <w:tcPr>
            <w:tcW w:w="2604" w:type="dxa"/>
            <w:tcBorders>
              <w:top w:val="nil"/>
              <w:left w:val="nil"/>
              <w:bottom w:val="nil"/>
              <w:right w:val="nil"/>
            </w:tcBorders>
            <w:shd w:val="clear" w:color="auto" w:fill="auto"/>
            <w:tcMar>
              <w:top w:w="80" w:type="dxa"/>
              <w:left w:w="80" w:type="dxa"/>
              <w:bottom w:w="80" w:type="dxa"/>
              <w:right w:w="80" w:type="dxa"/>
            </w:tcMar>
          </w:tcPr>
          <w:p w14:paraId="2E14EA8D" w14:textId="77777777" w:rsidR="000E1F2E" w:rsidRDefault="00E1617B">
            <w:pPr>
              <w:pStyle w:val="TableStyle2"/>
              <w:jc w:val="center"/>
            </w:pPr>
            <w:r>
              <w:rPr>
                <w:rFonts w:ascii="Arial" w:hAnsi="Arial"/>
              </w:rPr>
              <w:t>Guarantee record accuracy</w:t>
            </w:r>
          </w:p>
        </w:tc>
        <w:tc>
          <w:tcPr>
            <w:tcW w:w="1741" w:type="dxa"/>
            <w:tcBorders>
              <w:top w:val="nil"/>
              <w:left w:val="nil"/>
              <w:bottom w:val="nil"/>
              <w:right w:val="nil"/>
            </w:tcBorders>
            <w:shd w:val="clear" w:color="auto" w:fill="auto"/>
            <w:tcMar>
              <w:top w:w="80" w:type="dxa"/>
              <w:left w:w="80" w:type="dxa"/>
              <w:bottom w:w="80" w:type="dxa"/>
              <w:right w:w="80" w:type="dxa"/>
            </w:tcMar>
          </w:tcPr>
          <w:p w14:paraId="7376DF9D" w14:textId="77777777" w:rsidR="000E1F2E" w:rsidRDefault="00E1617B">
            <w:pPr>
              <w:pStyle w:val="TableStyle2"/>
              <w:jc w:val="center"/>
            </w:pPr>
            <w:r>
              <w:rPr>
                <w:rFonts w:ascii="Arial" w:hAnsi="Arial"/>
              </w:rPr>
              <w:t>OAR</w:t>
            </w:r>
          </w:p>
        </w:tc>
        <w:tc>
          <w:tcPr>
            <w:tcW w:w="2262" w:type="dxa"/>
            <w:tcBorders>
              <w:top w:val="nil"/>
              <w:left w:val="nil"/>
              <w:bottom w:val="nil"/>
              <w:right w:val="nil"/>
            </w:tcBorders>
            <w:shd w:val="clear" w:color="auto" w:fill="auto"/>
            <w:tcMar>
              <w:top w:w="80" w:type="dxa"/>
              <w:left w:w="80" w:type="dxa"/>
              <w:bottom w:w="80" w:type="dxa"/>
              <w:right w:w="80" w:type="dxa"/>
            </w:tcMar>
          </w:tcPr>
          <w:p w14:paraId="326D7350" w14:textId="77777777" w:rsidR="000E1F2E" w:rsidRDefault="000E1F2E"/>
        </w:tc>
      </w:tr>
      <w:tr w:rsidR="000E1F2E" w14:paraId="3020ABD9" w14:textId="77777777">
        <w:tblPrEx>
          <w:shd w:val="clear" w:color="auto" w:fill="auto"/>
        </w:tblPrEx>
        <w:trPr>
          <w:trHeight w:val="433"/>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51406D18" w14:textId="77777777" w:rsidR="000E1F2E" w:rsidRDefault="00E1617B">
            <w:pPr>
              <w:pStyle w:val="TableStyle1"/>
              <w:jc w:val="center"/>
            </w:pPr>
            <w:r>
              <w:rPr>
                <w:rFonts w:ascii="Arial" w:hAnsi="Arial"/>
              </w:rPr>
              <w:lastRenderedPageBreak/>
              <w:t>A-10-21</w:t>
            </w:r>
          </w:p>
        </w:tc>
        <w:tc>
          <w:tcPr>
            <w:tcW w:w="2604" w:type="dxa"/>
            <w:tcBorders>
              <w:top w:val="nil"/>
              <w:left w:val="nil"/>
              <w:bottom w:val="nil"/>
              <w:right w:val="nil"/>
            </w:tcBorders>
            <w:shd w:val="clear" w:color="auto" w:fill="auto"/>
            <w:tcMar>
              <w:top w:w="80" w:type="dxa"/>
              <w:left w:w="80" w:type="dxa"/>
              <w:bottom w:w="80" w:type="dxa"/>
              <w:right w:w="80" w:type="dxa"/>
            </w:tcMar>
          </w:tcPr>
          <w:p w14:paraId="2FA622A3" w14:textId="77777777" w:rsidR="000E1F2E" w:rsidRDefault="00E1617B">
            <w:pPr>
              <w:pStyle w:val="TableStyle2"/>
              <w:jc w:val="center"/>
            </w:pPr>
            <w:r>
              <w:rPr>
                <w:rFonts w:ascii="Arial" w:hAnsi="Arial"/>
              </w:rPr>
              <w:t>Match speed switch and speed bugs</w:t>
            </w:r>
          </w:p>
        </w:tc>
        <w:tc>
          <w:tcPr>
            <w:tcW w:w="1741" w:type="dxa"/>
            <w:tcBorders>
              <w:top w:val="nil"/>
              <w:left w:val="nil"/>
              <w:bottom w:val="nil"/>
              <w:right w:val="nil"/>
            </w:tcBorders>
            <w:shd w:val="clear" w:color="auto" w:fill="auto"/>
            <w:tcMar>
              <w:top w:w="80" w:type="dxa"/>
              <w:left w:w="80" w:type="dxa"/>
              <w:bottom w:w="80" w:type="dxa"/>
              <w:right w:w="80" w:type="dxa"/>
            </w:tcMar>
          </w:tcPr>
          <w:p w14:paraId="138B96CB" w14:textId="77777777" w:rsidR="000E1F2E" w:rsidRDefault="00E1617B">
            <w:pPr>
              <w:pStyle w:val="TableStyle2"/>
              <w:jc w:val="center"/>
            </w:pPr>
            <w:r>
              <w:rPr>
                <w:rFonts w:ascii="Arial" w:hAnsi="Arial"/>
              </w:rPr>
              <w:t>CAAA</w:t>
            </w:r>
          </w:p>
        </w:tc>
        <w:tc>
          <w:tcPr>
            <w:tcW w:w="2262" w:type="dxa"/>
            <w:tcBorders>
              <w:top w:val="nil"/>
              <w:left w:val="nil"/>
              <w:bottom w:val="nil"/>
              <w:right w:val="nil"/>
            </w:tcBorders>
            <w:shd w:val="clear" w:color="auto" w:fill="auto"/>
            <w:tcMar>
              <w:top w:w="80" w:type="dxa"/>
              <w:left w:w="80" w:type="dxa"/>
              <w:bottom w:w="80" w:type="dxa"/>
              <w:right w:w="80" w:type="dxa"/>
            </w:tcMar>
          </w:tcPr>
          <w:p w14:paraId="6D249979" w14:textId="77777777" w:rsidR="000E1F2E" w:rsidRDefault="00E1617B">
            <w:pPr>
              <w:pStyle w:val="TableStyle2"/>
              <w:jc w:val="center"/>
            </w:pPr>
            <w:r>
              <w:rPr>
                <w:rFonts w:ascii="Arial" w:hAnsi="Arial"/>
              </w:rPr>
              <w:t>3/22/2012</w:t>
            </w:r>
          </w:p>
        </w:tc>
      </w:tr>
      <w:tr w:rsidR="000E1F2E" w14:paraId="0140FEE0" w14:textId="77777777">
        <w:tblPrEx>
          <w:shd w:val="clear" w:color="auto" w:fill="auto"/>
        </w:tblPrEx>
        <w:trPr>
          <w:trHeight w:val="433"/>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706D6518" w14:textId="77777777" w:rsidR="000E1F2E" w:rsidRDefault="00E1617B">
            <w:pPr>
              <w:pStyle w:val="TableStyle1"/>
              <w:jc w:val="center"/>
            </w:pPr>
            <w:r>
              <w:rPr>
                <w:rFonts w:ascii="Arial" w:hAnsi="Arial"/>
              </w:rPr>
              <w:t>A-10-22</w:t>
            </w:r>
          </w:p>
        </w:tc>
        <w:tc>
          <w:tcPr>
            <w:tcW w:w="2604" w:type="dxa"/>
            <w:tcBorders>
              <w:top w:val="nil"/>
              <w:left w:val="nil"/>
              <w:bottom w:val="nil"/>
              <w:right w:val="nil"/>
            </w:tcBorders>
            <w:shd w:val="clear" w:color="auto" w:fill="auto"/>
            <w:tcMar>
              <w:top w:w="80" w:type="dxa"/>
              <w:left w:w="80" w:type="dxa"/>
              <w:bottom w:w="80" w:type="dxa"/>
              <w:right w:w="80" w:type="dxa"/>
            </w:tcMar>
          </w:tcPr>
          <w:p w14:paraId="2FCC2B94" w14:textId="77777777" w:rsidR="000E1F2E" w:rsidRDefault="00E1617B">
            <w:pPr>
              <w:pStyle w:val="TableStyle2"/>
              <w:jc w:val="center"/>
            </w:pPr>
            <w:r>
              <w:rPr>
                <w:rFonts w:ascii="Arial" w:hAnsi="Arial"/>
              </w:rPr>
              <w:t>New more effective stall training</w:t>
            </w:r>
          </w:p>
        </w:tc>
        <w:tc>
          <w:tcPr>
            <w:tcW w:w="1741" w:type="dxa"/>
            <w:tcBorders>
              <w:top w:val="nil"/>
              <w:left w:val="nil"/>
              <w:bottom w:val="nil"/>
              <w:right w:val="nil"/>
            </w:tcBorders>
            <w:shd w:val="clear" w:color="auto" w:fill="auto"/>
            <w:tcMar>
              <w:top w:w="80" w:type="dxa"/>
              <w:left w:w="80" w:type="dxa"/>
              <w:bottom w:w="80" w:type="dxa"/>
              <w:right w:w="80" w:type="dxa"/>
            </w:tcMar>
          </w:tcPr>
          <w:p w14:paraId="46B088EF" w14:textId="77777777" w:rsidR="000E1F2E" w:rsidRDefault="00E1617B">
            <w:pPr>
              <w:pStyle w:val="TableStyle2"/>
              <w:jc w:val="center"/>
            </w:pPr>
            <w:r>
              <w:rPr>
                <w:rFonts w:ascii="Arial" w:hAnsi="Arial"/>
              </w:rPr>
              <w:t>OUR</w:t>
            </w:r>
          </w:p>
        </w:tc>
        <w:tc>
          <w:tcPr>
            <w:tcW w:w="2262" w:type="dxa"/>
            <w:tcBorders>
              <w:top w:val="nil"/>
              <w:left w:val="nil"/>
              <w:bottom w:val="nil"/>
              <w:right w:val="nil"/>
            </w:tcBorders>
            <w:shd w:val="clear" w:color="auto" w:fill="auto"/>
            <w:tcMar>
              <w:top w:w="80" w:type="dxa"/>
              <w:left w:w="80" w:type="dxa"/>
              <w:bottom w:w="80" w:type="dxa"/>
              <w:right w:w="80" w:type="dxa"/>
            </w:tcMar>
          </w:tcPr>
          <w:p w14:paraId="7D820D31" w14:textId="77777777" w:rsidR="000E1F2E" w:rsidRDefault="000E1F2E"/>
        </w:tc>
      </w:tr>
      <w:tr w:rsidR="000E1F2E" w14:paraId="1CCE5037" w14:textId="77777777">
        <w:tblPrEx>
          <w:shd w:val="clear" w:color="auto" w:fill="auto"/>
        </w:tblPrEx>
        <w:trPr>
          <w:trHeight w:val="279"/>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357E8468" w14:textId="77777777" w:rsidR="000E1F2E" w:rsidRDefault="00E1617B">
            <w:pPr>
              <w:pStyle w:val="TableStyle1"/>
              <w:jc w:val="center"/>
            </w:pPr>
            <w:r>
              <w:rPr>
                <w:rFonts w:ascii="Arial" w:hAnsi="Arial"/>
              </w:rPr>
              <w:t>A-10-23</w:t>
            </w:r>
          </w:p>
        </w:tc>
        <w:tc>
          <w:tcPr>
            <w:tcW w:w="2604" w:type="dxa"/>
            <w:tcBorders>
              <w:top w:val="nil"/>
              <w:left w:val="nil"/>
              <w:bottom w:val="nil"/>
              <w:right w:val="nil"/>
            </w:tcBorders>
            <w:shd w:val="clear" w:color="auto" w:fill="auto"/>
            <w:tcMar>
              <w:top w:w="80" w:type="dxa"/>
              <w:left w:w="80" w:type="dxa"/>
              <w:bottom w:w="80" w:type="dxa"/>
              <w:right w:w="80" w:type="dxa"/>
            </w:tcMar>
          </w:tcPr>
          <w:p w14:paraId="51AA69FD" w14:textId="77777777" w:rsidR="000E1F2E" w:rsidRDefault="00E1617B">
            <w:pPr>
              <w:pStyle w:val="TableStyle2"/>
              <w:jc w:val="center"/>
            </w:pPr>
            <w:r>
              <w:rPr>
                <w:rFonts w:ascii="Arial" w:hAnsi="Arial"/>
              </w:rPr>
              <w:t>Stick pusher training</w:t>
            </w:r>
          </w:p>
        </w:tc>
        <w:tc>
          <w:tcPr>
            <w:tcW w:w="1741" w:type="dxa"/>
            <w:tcBorders>
              <w:top w:val="nil"/>
              <w:left w:val="nil"/>
              <w:bottom w:val="nil"/>
              <w:right w:val="nil"/>
            </w:tcBorders>
            <w:shd w:val="clear" w:color="auto" w:fill="auto"/>
            <w:tcMar>
              <w:top w:w="80" w:type="dxa"/>
              <w:left w:w="80" w:type="dxa"/>
              <w:bottom w:w="80" w:type="dxa"/>
              <w:right w:w="80" w:type="dxa"/>
            </w:tcMar>
          </w:tcPr>
          <w:p w14:paraId="11B0FCE8" w14:textId="77777777" w:rsidR="000E1F2E" w:rsidRDefault="00E1617B">
            <w:pPr>
              <w:pStyle w:val="TableStyle2"/>
              <w:jc w:val="center"/>
            </w:pPr>
            <w:r>
              <w:rPr>
                <w:rFonts w:ascii="Arial" w:hAnsi="Arial"/>
              </w:rPr>
              <w:t>OUR</w:t>
            </w:r>
          </w:p>
        </w:tc>
        <w:tc>
          <w:tcPr>
            <w:tcW w:w="2262" w:type="dxa"/>
            <w:tcBorders>
              <w:top w:val="nil"/>
              <w:left w:val="nil"/>
              <w:bottom w:val="nil"/>
              <w:right w:val="nil"/>
            </w:tcBorders>
            <w:shd w:val="clear" w:color="auto" w:fill="auto"/>
            <w:tcMar>
              <w:top w:w="80" w:type="dxa"/>
              <w:left w:w="80" w:type="dxa"/>
              <w:bottom w:w="80" w:type="dxa"/>
              <w:right w:w="80" w:type="dxa"/>
            </w:tcMar>
          </w:tcPr>
          <w:p w14:paraId="4DE31CA2" w14:textId="77777777" w:rsidR="000E1F2E" w:rsidRDefault="000E1F2E"/>
        </w:tc>
      </w:tr>
      <w:tr w:rsidR="000E1F2E" w14:paraId="64BF3978" w14:textId="77777777">
        <w:tblPrEx>
          <w:shd w:val="clear" w:color="auto" w:fill="auto"/>
        </w:tblPrEx>
        <w:trPr>
          <w:trHeight w:val="433"/>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31E80DE5" w14:textId="77777777" w:rsidR="000E1F2E" w:rsidRDefault="00E1617B">
            <w:pPr>
              <w:pStyle w:val="TableStyle1"/>
              <w:jc w:val="center"/>
            </w:pPr>
            <w:r>
              <w:rPr>
                <w:rFonts w:ascii="Arial" w:hAnsi="Arial"/>
              </w:rPr>
              <w:t>A-10-24</w:t>
            </w:r>
          </w:p>
        </w:tc>
        <w:tc>
          <w:tcPr>
            <w:tcW w:w="2604" w:type="dxa"/>
            <w:tcBorders>
              <w:top w:val="nil"/>
              <w:left w:val="nil"/>
              <w:bottom w:val="nil"/>
              <w:right w:val="nil"/>
            </w:tcBorders>
            <w:shd w:val="clear" w:color="auto" w:fill="auto"/>
            <w:tcMar>
              <w:top w:w="80" w:type="dxa"/>
              <w:left w:w="80" w:type="dxa"/>
              <w:bottom w:w="80" w:type="dxa"/>
              <w:right w:w="80" w:type="dxa"/>
            </w:tcMar>
          </w:tcPr>
          <w:p w14:paraId="2E69E1B6" w14:textId="77777777" w:rsidR="000E1F2E" w:rsidRDefault="00E1617B">
            <w:pPr>
              <w:pStyle w:val="TableStyle2"/>
              <w:jc w:val="center"/>
            </w:pPr>
            <w:r>
              <w:rPr>
                <w:rFonts w:ascii="Arial" w:hAnsi="Arial"/>
              </w:rPr>
              <w:t>New simulator fidelity for stall training</w:t>
            </w:r>
          </w:p>
        </w:tc>
        <w:tc>
          <w:tcPr>
            <w:tcW w:w="1741" w:type="dxa"/>
            <w:tcBorders>
              <w:top w:val="nil"/>
              <w:left w:val="nil"/>
              <w:bottom w:val="nil"/>
              <w:right w:val="nil"/>
            </w:tcBorders>
            <w:shd w:val="clear" w:color="auto" w:fill="auto"/>
            <w:tcMar>
              <w:top w:w="80" w:type="dxa"/>
              <w:left w:w="80" w:type="dxa"/>
              <w:bottom w:w="80" w:type="dxa"/>
              <w:right w:w="80" w:type="dxa"/>
            </w:tcMar>
          </w:tcPr>
          <w:p w14:paraId="2F04BC97" w14:textId="77777777" w:rsidR="000E1F2E" w:rsidRDefault="00E1617B">
            <w:pPr>
              <w:pStyle w:val="TableStyle2"/>
              <w:jc w:val="center"/>
            </w:pPr>
            <w:r>
              <w:rPr>
                <w:rFonts w:ascii="Arial" w:hAnsi="Arial"/>
              </w:rPr>
              <w:t>CAA</w:t>
            </w:r>
          </w:p>
        </w:tc>
        <w:tc>
          <w:tcPr>
            <w:tcW w:w="2262" w:type="dxa"/>
            <w:tcBorders>
              <w:top w:val="nil"/>
              <w:left w:val="nil"/>
              <w:bottom w:val="nil"/>
              <w:right w:val="nil"/>
            </w:tcBorders>
            <w:shd w:val="clear" w:color="auto" w:fill="auto"/>
            <w:tcMar>
              <w:top w:w="80" w:type="dxa"/>
              <w:left w:w="80" w:type="dxa"/>
              <w:bottom w:w="80" w:type="dxa"/>
              <w:right w:w="80" w:type="dxa"/>
            </w:tcMar>
          </w:tcPr>
          <w:p w14:paraId="63C3AC8B" w14:textId="77777777" w:rsidR="000E1F2E" w:rsidRDefault="00E1617B">
            <w:pPr>
              <w:pStyle w:val="TableStyle2"/>
              <w:jc w:val="center"/>
            </w:pPr>
            <w:r>
              <w:rPr>
                <w:rFonts w:ascii="Arial" w:hAnsi="Arial"/>
              </w:rPr>
              <w:t>7/21/2016</w:t>
            </w:r>
          </w:p>
        </w:tc>
      </w:tr>
      <w:tr w:rsidR="000E1F2E" w14:paraId="429219B9" w14:textId="77777777">
        <w:tblPrEx>
          <w:shd w:val="clear" w:color="auto" w:fill="auto"/>
        </w:tblPrEx>
        <w:trPr>
          <w:trHeight w:val="433"/>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170C9CCB" w14:textId="77777777" w:rsidR="000E1F2E" w:rsidRDefault="00E1617B">
            <w:pPr>
              <w:pStyle w:val="TableStyle1"/>
              <w:jc w:val="center"/>
            </w:pPr>
            <w:r>
              <w:rPr>
                <w:rFonts w:ascii="Arial" w:hAnsi="Arial"/>
              </w:rPr>
              <w:t>A-10-25</w:t>
            </w:r>
          </w:p>
        </w:tc>
        <w:tc>
          <w:tcPr>
            <w:tcW w:w="2604" w:type="dxa"/>
            <w:tcBorders>
              <w:top w:val="nil"/>
              <w:left w:val="nil"/>
              <w:bottom w:val="nil"/>
              <w:right w:val="nil"/>
            </w:tcBorders>
            <w:shd w:val="clear" w:color="auto" w:fill="auto"/>
            <w:tcMar>
              <w:top w:w="80" w:type="dxa"/>
              <w:left w:w="80" w:type="dxa"/>
              <w:bottom w:w="80" w:type="dxa"/>
              <w:right w:w="80" w:type="dxa"/>
            </w:tcMar>
          </w:tcPr>
          <w:p w14:paraId="59E7D64F" w14:textId="77777777" w:rsidR="000E1F2E" w:rsidRDefault="00E1617B">
            <w:pPr>
              <w:pStyle w:val="TableStyle2"/>
              <w:jc w:val="center"/>
            </w:pPr>
            <w:r>
              <w:rPr>
                <w:rFonts w:ascii="Arial" w:hAnsi="Arial"/>
              </w:rPr>
              <w:t>Establish tail stall relevance</w:t>
            </w:r>
          </w:p>
        </w:tc>
        <w:tc>
          <w:tcPr>
            <w:tcW w:w="1741" w:type="dxa"/>
            <w:tcBorders>
              <w:top w:val="nil"/>
              <w:left w:val="nil"/>
              <w:bottom w:val="nil"/>
              <w:right w:val="nil"/>
            </w:tcBorders>
            <w:shd w:val="clear" w:color="auto" w:fill="auto"/>
            <w:tcMar>
              <w:top w:w="80" w:type="dxa"/>
              <w:left w:w="80" w:type="dxa"/>
              <w:bottom w:w="80" w:type="dxa"/>
              <w:right w:w="80" w:type="dxa"/>
            </w:tcMar>
          </w:tcPr>
          <w:p w14:paraId="2E15883D" w14:textId="77777777" w:rsidR="000E1F2E" w:rsidRDefault="00E1617B">
            <w:pPr>
              <w:pStyle w:val="TableStyle2"/>
              <w:jc w:val="center"/>
            </w:pPr>
            <w:r>
              <w:rPr>
                <w:rFonts w:ascii="Arial" w:hAnsi="Arial"/>
              </w:rPr>
              <w:t>CAA</w:t>
            </w:r>
          </w:p>
        </w:tc>
        <w:tc>
          <w:tcPr>
            <w:tcW w:w="2262" w:type="dxa"/>
            <w:tcBorders>
              <w:top w:val="nil"/>
              <w:left w:val="nil"/>
              <w:bottom w:val="nil"/>
              <w:right w:val="nil"/>
            </w:tcBorders>
            <w:shd w:val="clear" w:color="auto" w:fill="auto"/>
            <w:tcMar>
              <w:top w:w="80" w:type="dxa"/>
              <w:left w:w="80" w:type="dxa"/>
              <w:bottom w:w="80" w:type="dxa"/>
              <w:right w:w="80" w:type="dxa"/>
            </w:tcMar>
          </w:tcPr>
          <w:p w14:paraId="0B186973" w14:textId="77777777" w:rsidR="000E1F2E" w:rsidRDefault="00E1617B">
            <w:pPr>
              <w:pStyle w:val="TableStyle2"/>
              <w:jc w:val="center"/>
            </w:pPr>
            <w:r>
              <w:rPr>
                <w:rFonts w:ascii="Arial" w:hAnsi="Arial"/>
              </w:rPr>
              <w:t>7/21/2016</w:t>
            </w:r>
          </w:p>
        </w:tc>
      </w:tr>
      <w:tr w:rsidR="000E1F2E" w14:paraId="0C5C5949" w14:textId="77777777">
        <w:tblPrEx>
          <w:shd w:val="clear" w:color="auto" w:fill="auto"/>
        </w:tblPrEx>
        <w:trPr>
          <w:trHeight w:val="433"/>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79F1A9D7" w14:textId="77777777" w:rsidR="000E1F2E" w:rsidRDefault="00E1617B">
            <w:pPr>
              <w:pStyle w:val="TableStyle1"/>
              <w:jc w:val="center"/>
            </w:pPr>
            <w:r>
              <w:rPr>
                <w:rFonts w:ascii="Arial" w:hAnsi="Arial"/>
              </w:rPr>
              <w:t>A-10-26</w:t>
            </w:r>
          </w:p>
        </w:tc>
        <w:tc>
          <w:tcPr>
            <w:tcW w:w="2604" w:type="dxa"/>
            <w:tcBorders>
              <w:top w:val="nil"/>
              <w:left w:val="nil"/>
              <w:bottom w:val="nil"/>
              <w:right w:val="nil"/>
            </w:tcBorders>
            <w:shd w:val="clear" w:color="auto" w:fill="auto"/>
            <w:tcMar>
              <w:top w:w="80" w:type="dxa"/>
              <w:left w:w="80" w:type="dxa"/>
              <w:bottom w:w="80" w:type="dxa"/>
              <w:right w:w="80" w:type="dxa"/>
            </w:tcMar>
          </w:tcPr>
          <w:p w14:paraId="470DA2ED" w14:textId="77777777" w:rsidR="000E1F2E" w:rsidRDefault="00E1617B">
            <w:pPr>
              <w:pStyle w:val="TableStyle2"/>
              <w:jc w:val="center"/>
            </w:pPr>
            <w:r>
              <w:rPr>
                <w:rFonts w:ascii="Arial" w:hAnsi="Arial"/>
              </w:rPr>
              <w:t>Better surveillance standards</w:t>
            </w:r>
          </w:p>
        </w:tc>
        <w:tc>
          <w:tcPr>
            <w:tcW w:w="1741" w:type="dxa"/>
            <w:tcBorders>
              <w:top w:val="nil"/>
              <w:left w:val="nil"/>
              <w:bottom w:val="nil"/>
              <w:right w:val="nil"/>
            </w:tcBorders>
            <w:shd w:val="clear" w:color="auto" w:fill="auto"/>
            <w:tcMar>
              <w:top w:w="80" w:type="dxa"/>
              <w:left w:w="80" w:type="dxa"/>
              <w:bottom w:w="80" w:type="dxa"/>
              <w:right w:w="80" w:type="dxa"/>
            </w:tcMar>
          </w:tcPr>
          <w:p w14:paraId="713047D2" w14:textId="77777777" w:rsidR="000E1F2E" w:rsidRDefault="00E1617B">
            <w:pPr>
              <w:pStyle w:val="TableStyle2"/>
              <w:jc w:val="center"/>
            </w:pPr>
            <w:r>
              <w:rPr>
                <w:rFonts w:ascii="Arial" w:hAnsi="Arial"/>
              </w:rPr>
              <w:t>CAA</w:t>
            </w:r>
          </w:p>
        </w:tc>
        <w:tc>
          <w:tcPr>
            <w:tcW w:w="2262" w:type="dxa"/>
            <w:tcBorders>
              <w:top w:val="nil"/>
              <w:left w:val="nil"/>
              <w:bottom w:val="nil"/>
              <w:right w:val="nil"/>
            </w:tcBorders>
            <w:shd w:val="clear" w:color="auto" w:fill="auto"/>
            <w:tcMar>
              <w:top w:w="80" w:type="dxa"/>
              <w:left w:w="80" w:type="dxa"/>
              <w:bottom w:w="80" w:type="dxa"/>
              <w:right w:w="80" w:type="dxa"/>
            </w:tcMar>
          </w:tcPr>
          <w:p w14:paraId="64402871" w14:textId="77777777" w:rsidR="000E1F2E" w:rsidRDefault="00E1617B">
            <w:pPr>
              <w:pStyle w:val="TableStyle2"/>
              <w:jc w:val="center"/>
            </w:pPr>
            <w:r>
              <w:rPr>
                <w:rFonts w:ascii="Arial" w:hAnsi="Arial"/>
              </w:rPr>
              <w:t>11/02/2015</w:t>
            </w:r>
          </w:p>
        </w:tc>
      </w:tr>
      <w:tr w:rsidR="000E1F2E" w14:paraId="25EF8D9B" w14:textId="77777777">
        <w:tblPrEx>
          <w:shd w:val="clear" w:color="auto" w:fill="auto"/>
        </w:tblPrEx>
        <w:trPr>
          <w:trHeight w:val="279"/>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4DD9FE04" w14:textId="77777777" w:rsidR="000E1F2E" w:rsidRDefault="00E1617B">
            <w:pPr>
              <w:pStyle w:val="TableStyle1"/>
              <w:jc w:val="center"/>
            </w:pPr>
            <w:r>
              <w:rPr>
                <w:rFonts w:ascii="Arial" w:hAnsi="Arial"/>
              </w:rPr>
              <w:t>A-10-27</w:t>
            </w:r>
          </w:p>
        </w:tc>
        <w:tc>
          <w:tcPr>
            <w:tcW w:w="2604" w:type="dxa"/>
            <w:tcBorders>
              <w:top w:val="nil"/>
              <w:left w:val="nil"/>
              <w:bottom w:val="nil"/>
              <w:right w:val="nil"/>
            </w:tcBorders>
            <w:shd w:val="clear" w:color="auto" w:fill="auto"/>
            <w:tcMar>
              <w:top w:w="80" w:type="dxa"/>
              <w:left w:w="80" w:type="dxa"/>
              <w:bottom w:w="80" w:type="dxa"/>
              <w:right w:w="80" w:type="dxa"/>
            </w:tcMar>
          </w:tcPr>
          <w:p w14:paraId="3EF2B7A5" w14:textId="77777777" w:rsidR="000E1F2E" w:rsidRDefault="00E1617B">
            <w:pPr>
              <w:pStyle w:val="TableStyle2"/>
              <w:jc w:val="center"/>
            </w:pPr>
            <w:r>
              <w:rPr>
                <w:rFonts w:ascii="Arial" w:hAnsi="Arial"/>
              </w:rPr>
              <w:t>Mandate FOQA</w:t>
            </w:r>
          </w:p>
        </w:tc>
        <w:tc>
          <w:tcPr>
            <w:tcW w:w="1741" w:type="dxa"/>
            <w:tcBorders>
              <w:top w:val="nil"/>
              <w:left w:val="nil"/>
              <w:bottom w:val="nil"/>
              <w:right w:val="nil"/>
            </w:tcBorders>
            <w:shd w:val="clear" w:color="auto" w:fill="auto"/>
            <w:tcMar>
              <w:top w:w="80" w:type="dxa"/>
              <w:left w:w="80" w:type="dxa"/>
              <w:bottom w:w="80" w:type="dxa"/>
              <w:right w:w="80" w:type="dxa"/>
            </w:tcMar>
          </w:tcPr>
          <w:p w14:paraId="007C06C4" w14:textId="77777777" w:rsidR="000E1F2E" w:rsidRDefault="00E1617B">
            <w:pPr>
              <w:pStyle w:val="TableStyle2"/>
              <w:jc w:val="center"/>
            </w:pPr>
            <w:r>
              <w:rPr>
                <w:rFonts w:ascii="Arial" w:hAnsi="Arial"/>
              </w:rPr>
              <w:t>CNLA</w:t>
            </w:r>
          </w:p>
        </w:tc>
        <w:tc>
          <w:tcPr>
            <w:tcW w:w="2262" w:type="dxa"/>
            <w:tcBorders>
              <w:top w:val="nil"/>
              <w:left w:val="nil"/>
              <w:bottom w:val="nil"/>
              <w:right w:val="nil"/>
            </w:tcBorders>
            <w:shd w:val="clear" w:color="auto" w:fill="auto"/>
            <w:tcMar>
              <w:top w:w="80" w:type="dxa"/>
              <w:left w:w="80" w:type="dxa"/>
              <w:bottom w:w="80" w:type="dxa"/>
              <w:right w:w="80" w:type="dxa"/>
            </w:tcMar>
          </w:tcPr>
          <w:p w14:paraId="311C4E2B" w14:textId="77777777" w:rsidR="000E1F2E" w:rsidRDefault="00E1617B">
            <w:pPr>
              <w:pStyle w:val="TableStyle2"/>
              <w:jc w:val="center"/>
            </w:pPr>
            <w:r>
              <w:rPr>
                <w:rFonts w:ascii="Arial" w:hAnsi="Arial"/>
              </w:rPr>
              <w:t>2/04/2013</w:t>
            </w:r>
          </w:p>
        </w:tc>
      </w:tr>
      <w:tr w:rsidR="000E1F2E" w14:paraId="69B42D20" w14:textId="77777777">
        <w:tblPrEx>
          <w:shd w:val="clear" w:color="auto" w:fill="auto"/>
        </w:tblPrEx>
        <w:trPr>
          <w:trHeight w:val="279"/>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72184B4F" w14:textId="77777777" w:rsidR="000E1F2E" w:rsidRDefault="00E1617B">
            <w:pPr>
              <w:pStyle w:val="TableStyle1"/>
              <w:jc w:val="center"/>
            </w:pPr>
            <w:r>
              <w:rPr>
                <w:rFonts w:ascii="Arial" w:hAnsi="Arial"/>
              </w:rPr>
              <w:t>A-10-28</w:t>
            </w:r>
          </w:p>
        </w:tc>
        <w:tc>
          <w:tcPr>
            <w:tcW w:w="2604" w:type="dxa"/>
            <w:tcBorders>
              <w:top w:val="nil"/>
              <w:left w:val="nil"/>
              <w:bottom w:val="nil"/>
              <w:right w:val="nil"/>
            </w:tcBorders>
            <w:shd w:val="clear" w:color="auto" w:fill="auto"/>
            <w:tcMar>
              <w:top w:w="80" w:type="dxa"/>
              <w:left w:w="80" w:type="dxa"/>
              <w:bottom w:w="80" w:type="dxa"/>
              <w:right w:w="80" w:type="dxa"/>
            </w:tcMar>
          </w:tcPr>
          <w:p w14:paraId="290E0FA6" w14:textId="77777777" w:rsidR="000E1F2E" w:rsidRDefault="00E1617B">
            <w:pPr>
              <w:pStyle w:val="TableStyle2"/>
              <w:jc w:val="center"/>
            </w:pPr>
            <w:r>
              <w:rPr>
                <w:rFonts w:ascii="Arial" w:hAnsi="Arial"/>
              </w:rPr>
              <w:t>Protect FOQA data</w:t>
            </w:r>
          </w:p>
        </w:tc>
        <w:tc>
          <w:tcPr>
            <w:tcW w:w="1741" w:type="dxa"/>
            <w:tcBorders>
              <w:top w:val="nil"/>
              <w:left w:val="nil"/>
              <w:bottom w:val="nil"/>
              <w:right w:val="nil"/>
            </w:tcBorders>
            <w:shd w:val="clear" w:color="auto" w:fill="auto"/>
            <w:tcMar>
              <w:top w:w="80" w:type="dxa"/>
              <w:left w:w="80" w:type="dxa"/>
              <w:bottom w:w="80" w:type="dxa"/>
              <w:right w:w="80" w:type="dxa"/>
            </w:tcMar>
          </w:tcPr>
          <w:p w14:paraId="1B7B0B6E" w14:textId="77777777" w:rsidR="000E1F2E" w:rsidRDefault="00E1617B">
            <w:pPr>
              <w:pStyle w:val="TableStyle2"/>
              <w:jc w:val="center"/>
            </w:pPr>
            <w:r>
              <w:rPr>
                <w:rFonts w:ascii="Arial" w:hAnsi="Arial"/>
              </w:rPr>
              <w:t>CNLA</w:t>
            </w:r>
          </w:p>
        </w:tc>
        <w:tc>
          <w:tcPr>
            <w:tcW w:w="2262" w:type="dxa"/>
            <w:tcBorders>
              <w:top w:val="nil"/>
              <w:left w:val="nil"/>
              <w:bottom w:val="nil"/>
              <w:right w:val="nil"/>
            </w:tcBorders>
            <w:shd w:val="clear" w:color="auto" w:fill="auto"/>
            <w:tcMar>
              <w:top w:w="80" w:type="dxa"/>
              <w:left w:w="80" w:type="dxa"/>
              <w:bottom w:w="80" w:type="dxa"/>
              <w:right w:w="80" w:type="dxa"/>
            </w:tcMar>
          </w:tcPr>
          <w:p w14:paraId="5A72304F" w14:textId="77777777" w:rsidR="000E1F2E" w:rsidRDefault="00E1617B">
            <w:pPr>
              <w:pStyle w:val="TableStyle2"/>
              <w:jc w:val="center"/>
            </w:pPr>
            <w:r>
              <w:rPr>
                <w:rFonts w:ascii="Arial" w:hAnsi="Arial"/>
              </w:rPr>
              <w:t>2/04/2013</w:t>
            </w:r>
          </w:p>
        </w:tc>
      </w:tr>
      <w:tr w:rsidR="000E1F2E" w14:paraId="2BEB550C" w14:textId="77777777">
        <w:tblPrEx>
          <w:shd w:val="clear" w:color="auto" w:fill="auto"/>
        </w:tblPrEx>
        <w:trPr>
          <w:trHeight w:val="433"/>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40340A14" w14:textId="77777777" w:rsidR="000E1F2E" w:rsidRDefault="00E1617B">
            <w:pPr>
              <w:pStyle w:val="TableStyle1"/>
              <w:jc w:val="center"/>
            </w:pPr>
            <w:r>
              <w:rPr>
                <w:rFonts w:ascii="Arial" w:hAnsi="Arial"/>
              </w:rPr>
              <w:t>A-10-29</w:t>
            </w:r>
          </w:p>
        </w:tc>
        <w:tc>
          <w:tcPr>
            <w:tcW w:w="2604" w:type="dxa"/>
            <w:tcBorders>
              <w:top w:val="nil"/>
              <w:left w:val="nil"/>
              <w:bottom w:val="nil"/>
              <w:right w:val="nil"/>
            </w:tcBorders>
            <w:shd w:val="clear" w:color="auto" w:fill="auto"/>
            <w:tcMar>
              <w:top w:w="80" w:type="dxa"/>
              <w:left w:w="80" w:type="dxa"/>
              <w:bottom w:w="80" w:type="dxa"/>
              <w:right w:w="80" w:type="dxa"/>
            </w:tcMar>
          </w:tcPr>
          <w:p w14:paraId="277378DC" w14:textId="77777777" w:rsidR="000E1F2E" w:rsidRDefault="00E1617B">
            <w:pPr>
              <w:pStyle w:val="TableStyle2"/>
              <w:jc w:val="center"/>
            </w:pPr>
            <w:r>
              <w:rPr>
                <w:rFonts w:ascii="Arial" w:hAnsi="Arial"/>
              </w:rPr>
              <w:t>Use all available data sources</w:t>
            </w:r>
          </w:p>
        </w:tc>
        <w:tc>
          <w:tcPr>
            <w:tcW w:w="1741" w:type="dxa"/>
            <w:tcBorders>
              <w:top w:val="nil"/>
              <w:left w:val="nil"/>
              <w:bottom w:val="nil"/>
              <w:right w:val="nil"/>
            </w:tcBorders>
            <w:shd w:val="clear" w:color="auto" w:fill="auto"/>
            <w:tcMar>
              <w:top w:w="80" w:type="dxa"/>
              <w:left w:w="80" w:type="dxa"/>
              <w:bottom w:w="80" w:type="dxa"/>
              <w:right w:w="80" w:type="dxa"/>
            </w:tcMar>
          </w:tcPr>
          <w:p w14:paraId="13F0505D" w14:textId="77777777" w:rsidR="000E1F2E" w:rsidRDefault="00E1617B">
            <w:pPr>
              <w:pStyle w:val="TableStyle2"/>
              <w:jc w:val="center"/>
            </w:pPr>
            <w:r>
              <w:rPr>
                <w:rFonts w:ascii="Arial" w:hAnsi="Arial"/>
              </w:rPr>
              <w:t>OAAR</w:t>
            </w:r>
          </w:p>
        </w:tc>
        <w:tc>
          <w:tcPr>
            <w:tcW w:w="2262" w:type="dxa"/>
            <w:tcBorders>
              <w:top w:val="nil"/>
              <w:left w:val="nil"/>
              <w:bottom w:val="nil"/>
              <w:right w:val="nil"/>
            </w:tcBorders>
            <w:shd w:val="clear" w:color="auto" w:fill="auto"/>
            <w:tcMar>
              <w:top w:w="80" w:type="dxa"/>
              <w:left w:w="80" w:type="dxa"/>
              <w:bottom w:w="80" w:type="dxa"/>
              <w:right w:w="80" w:type="dxa"/>
            </w:tcMar>
          </w:tcPr>
          <w:p w14:paraId="0547BB5B" w14:textId="77777777" w:rsidR="000E1F2E" w:rsidRDefault="000E1F2E"/>
        </w:tc>
      </w:tr>
      <w:tr w:rsidR="000E1F2E" w14:paraId="640A0A78" w14:textId="77777777">
        <w:tblPrEx>
          <w:shd w:val="clear" w:color="auto" w:fill="auto"/>
        </w:tblPrEx>
        <w:trPr>
          <w:trHeight w:val="433"/>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7E2A6FAB" w14:textId="77777777" w:rsidR="000E1F2E" w:rsidRDefault="00E1617B">
            <w:pPr>
              <w:pStyle w:val="TableStyle1"/>
              <w:jc w:val="center"/>
            </w:pPr>
            <w:r>
              <w:rPr>
                <w:rFonts w:ascii="Arial" w:hAnsi="Arial"/>
              </w:rPr>
              <w:t>A-10-30</w:t>
            </w:r>
          </w:p>
        </w:tc>
        <w:tc>
          <w:tcPr>
            <w:tcW w:w="2604" w:type="dxa"/>
            <w:tcBorders>
              <w:top w:val="nil"/>
              <w:left w:val="nil"/>
              <w:bottom w:val="nil"/>
              <w:right w:val="nil"/>
            </w:tcBorders>
            <w:shd w:val="clear" w:color="auto" w:fill="auto"/>
            <w:tcMar>
              <w:top w:w="80" w:type="dxa"/>
              <w:left w:w="80" w:type="dxa"/>
              <w:bottom w:w="80" w:type="dxa"/>
              <w:right w:w="80" w:type="dxa"/>
            </w:tcMar>
          </w:tcPr>
          <w:p w14:paraId="3D0AE9CF" w14:textId="77777777" w:rsidR="000E1F2E" w:rsidRDefault="00E1617B">
            <w:pPr>
              <w:pStyle w:val="TableStyle2"/>
              <w:jc w:val="center"/>
            </w:pPr>
            <w:r>
              <w:rPr>
                <w:rFonts w:ascii="Arial" w:hAnsi="Arial"/>
              </w:rPr>
              <w:t>Prohibit use of PED’s on flight deck</w:t>
            </w:r>
          </w:p>
        </w:tc>
        <w:tc>
          <w:tcPr>
            <w:tcW w:w="1741" w:type="dxa"/>
            <w:tcBorders>
              <w:top w:val="nil"/>
              <w:left w:val="nil"/>
              <w:bottom w:val="nil"/>
              <w:right w:val="nil"/>
            </w:tcBorders>
            <w:shd w:val="clear" w:color="auto" w:fill="auto"/>
            <w:tcMar>
              <w:top w:w="80" w:type="dxa"/>
              <w:left w:w="80" w:type="dxa"/>
              <w:bottom w:w="80" w:type="dxa"/>
              <w:right w:w="80" w:type="dxa"/>
            </w:tcMar>
          </w:tcPr>
          <w:p w14:paraId="66B8793F" w14:textId="77777777" w:rsidR="000E1F2E" w:rsidRDefault="00E1617B">
            <w:pPr>
              <w:pStyle w:val="TableStyle2"/>
              <w:jc w:val="center"/>
            </w:pPr>
            <w:r>
              <w:rPr>
                <w:rFonts w:ascii="Arial" w:hAnsi="Arial"/>
              </w:rPr>
              <w:t>CUA</w:t>
            </w:r>
          </w:p>
        </w:tc>
        <w:tc>
          <w:tcPr>
            <w:tcW w:w="2262" w:type="dxa"/>
            <w:tcBorders>
              <w:top w:val="nil"/>
              <w:left w:val="nil"/>
              <w:bottom w:val="nil"/>
              <w:right w:val="nil"/>
            </w:tcBorders>
            <w:shd w:val="clear" w:color="auto" w:fill="auto"/>
            <w:tcMar>
              <w:top w:w="80" w:type="dxa"/>
              <w:left w:w="80" w:type="dxa"/>
              <w:bottom w:w="80" w:type="dxa"/>
              <w:right w:w="80" w:type="dxa"/>
            </w:tcMar>
          </w:tcPr>
          <w:p w14:paraId="4E1057ED" w14:textId="77777777" w:rsidR="000E1F2E" w:rsidRDefault="00E1617B">
            <w:pPr>
              <w:pStyle w:val="TableStyle2"/>
              <w:jc w:val="center"/>
            </w:pPr>
            <w:r>
              <w:rPr>
                <w:rFonts w:ascii="Arial" w:hAnsi="Arial"/>
              </w:rPr>
              <w:t>6/14/2012</w:t>
            </w:r>
          </w:p>
        </w:tc>
      </w:tr>
      <w:tr w:rsidR="000E1F2E" w14:paraId="0C4A1D10" w14:textId="77777777">
        <w:tblPrEx>
          <w:shd w:val="clear" w:color="auto" w:fill="auto"/>
        </w:tblPrEx>
        <w:trPr>
          <w:trHeight w:val="279"/>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70408298" w14:textId="77777777" w:rsidR="000E1F2E" w:rsidRDefault="00E1617B">
            <w:pPr>
              <w:pStyle w:val="TableStyle1"/>
              <w:jc w:val="center"/>
            </w:pPr>
            <w:r>
              <w:rPr>
                <w:rFonts w:ascii="Arial" w:hAnsi="Arial"/>
              </w:rPr>
              <w:t>A-10-31</w:t>
            </w:r>
          </w:p>
        </w:tc>
        <w:tc>
          <w:tcPr>
            <w:tcW w:w="2604" w:type="dxa"/>
            <w:tcBorders>
              <w:top w:val="nil"/>
              <w:left w:val="nil"/>
              <w:bottom w:val="nil"/>
              <w:right w:val="nil"/>
            </w:tcBorders>
            <w:shd w:val="clear" w:color="auto" w:fill="auto"/>
            <w:tcMar>
              <w:top w:w="80" w:type="dxa"/>
              <w:left w:w="80" w:type="dxa"/>
              <w:bottom w:w="80" w:type="dxa"/>
              <w:right w:w="80" w:type="dxa"/>
            </w:tcMar>
          </w:tcPr>
          <w:p w14:paraId="75DEFBB9" w14:textId="77777777" w:rsidR="000E1F2E" w:rsidRDefault="00E1617B">
            <w:pPr>
              <w:pStyle w:val="TableStyle2"/>
              <w:jc w:val="center"/>
            </w:pPr>
            <w:r>
              <w:rPr>
                <w:rFonts w:ascii="Arial" w:hAnsi="Arial"/>
              </w:rPr>
              <w:t>Document SAFO actions</w:t>
            </w:r>
          </w:p>
        </w:tc>
        <w:tc>
          <w:tcPr>
            <w:tcW w:w="1741" w:type="dxa"/>
            <w:tcBorders>
              <w:top w:val="nil"/>
              <w:left w:val="nil"/>
              <w:bottom w:val="nil"/>
              <w:right w:val="nil"/>
            </w:tcBorders>
            <w:shd w:val="clear" w:color="auto" w:fill="auto"/>
            <w:tcMar>
              <w:top w:w="80" w:type="dxa"/>
              <w:left w:w="80" w:type="dxa"/>
              <w:bottom w:w="80" w:type="dxa"/>
              <w:right w:w="80" w:type="dxa"/>
            </w:tcMar>
          </w:tcPr>
          <w:p w14:paraId="066BE7D0" w14:textId="77777777" w:rsidR="000E1F2E" w:rsidRDefault="00E1617B">
            <w:pPr>
              <w:pStyle w:val="TableStyle2"/>
              <w:jc w:val="center"/>
            </w:pPr>
            <w:r>
              <w:rPr>
                <w:rFonts w:ascii="Arial" w:hAnsi="Arial"/>
              </w:rPr>
              <w:t>OUR</w:t>
            </w:r>
          </w:p>
        </w:tc>
        <w:tc>
          <w:tcPr>
            <w:tcW w:w="2262" w:type="dxa"/>
            <w:tcBorders>
              <w:top w:val="nil"/>
              <w:left w:val="nil"/>
              <w:bottom w:val="nil"/>
              <w:right w:val="nil"/>
            </w:tcBorders>
            <w:shd w:val="clear" w:color="auto" w:fill="auto"/>
            <w:tcMar>
              <w:top w:w="80" w:type="dxa"/>
              <w:left w:w="80" w:type="dxa"/>
              <w:bottom w:w="80" w:type="dxa"/>
              <w:right w:w="80" w:type="dxa"/>
            </w:tcMar>
          </w:tcPr>
          <w:p w14:paraId="74A8D6EC" w14:textId="77777777" w:rsidR="000E1F2E" w:rsidRDefault="000E1F2E"/>
        </w:tc>
      </w:tr>
      <w:tr w:rsidR="000E1F2E" w14:paraId="62DBAC86" w14:textId="77777777">
        <w:tblPrEx>
          <w:shd w:val="clear" w:color="auto" w:fill="auto"/>
        </w:tblPrEx>
        <w:trPr>
          <w:trHeight w:val="433"/>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1249B613" w14:textId="77777777" w:rsidR="000E1F2E" w:rsidRDefault="00E1617B">
            <w:pPr>
              <w:pStyle w:val="TableStyle1"/>
              <w:jc w:val="center"/>
            </w:pPr>
            <w:r>
              <w:rPr>
                <w:rFonts w:ascii="Arial" w:hAnsi="Arial"/>
              </w:rPr>
              <w:t>A-10-32</w:t>
            </w:r>
          </w:p>
        </w:tc>
        <w:tc>
          <w:tcPr>
            <w:tcW w:w="2604" w:type="dxa"/>
            <w:tcBorders>
              <w:top w:val="nil"/>
              <w:left w:val="nil"/>
              <w:bottom w:val="nil"/>
              <w:right w:val="nil"/>
            </w:tcBorders>
            <w:shd w:val="clear" w:color="auto" w:fill="auto"/>
            <w:tcMar>
              <w:top w:w="80" w:type="dxa"/>
              <w:left w:w="80" w:type="dxa"/>
              <w:bottom w:w="80" w:type="dxa"/>
              <w:right w:w="80" w:type="dxa"/>
            </w:tcMar>
          </w:tcPr>
          <w:p w14:paraId="30DAA06A" w14:textId="77777777" w:rsidR="000E1F2E" w:rsidRDefault="00E1617B">
            <w:pPr>
              <w:pStyle w:val="TableStyle2"/>
              <w:jc w:val="center"/>
            </w:pPr>
            <w:r>
              <w:rPr>
                <w:rFonts w:ascii="Arial" w:hAnsi="Arial"/>
              </w:rPr>
              <w:t>Provide relevant weather data</w:t>
            </w:r>
          </w:p>
        </w:tc>
        <w:tc>
          <w:tcPr>
            <w:tcW w:w="1741" w:type="dxa"/>
            <w:tcBorders>
              <w:top w:val="nil"/>
              <w:left w:val="nil"/>
              <w:bottom w:val="nil"/>
              <w:right w:val="nil"/>
            </w:tcBorders>
            <w:shd w:val="clear" w:color="auto" w:fill="auto"/>
            <w:tcMar>
              <w:top w:w="80" w:type="dxa"/>
              <w:left w:w="80" w:type="dxa"/>
              <w:bottom w:w="80" w:type="dxa"/>
              <w:right w:w="80" w:type="dxa"/>
            </w:tcMar>
          </w:tcPr>
          <w:p w14:paraId="4E48CE1C" w14:textId="77777777" w:rsidR="000E1F2E" w:rsidRDefault="00E1617B">
            <w:pPr>
              <w:pStyle w:val="TableStyle2"/>
              <w:jc w:val="center"/>
            </w:pPr>
            <w:r>
              <w:rPr>
                <w:rFonts w:ascii="Arial" w:hAnsi="Arial"/>
              </w:rPr>
              <w:t>CAA</w:t>
            </w:r>
          </w:p>
        </w:tc>
        <w:tc>
          <w:tcPr>
            <w:tcW w:w="2262" w:type="dxa"/>
            <w:tcBorders>
              <w:top w:val="nil"/>
              <w:left w:val="nil"/>
              <w:bottom w:val="nil"/>
              <w:right w:val="nil"/>
            </w:tcBorders>
            <w:shd w:val="clear" w:color="auto" w:fill="auto"/>
            <w:tcMar>
              <w:top w:w="80" w:type="dxa"/>
              <w:left w:w="80" w:type="dxa"/>
              <w:bottom w:w="80" w:type="dxa"/>
              <w:right w:w="80" w:type="dxa"/>
            </w:tcMar>
          </w:tcPr>
          <w:p w14:paraId="5A17EC93" w14:textId="77777777" w:rsidR="000E1F2E" w:rsidRDefault="00E1617B">
            <w:pPr>
              <w:pStyle w:val="TableStyle2"/>
              <w:jc w:val="center"/>
            </w:pPr>
            <w:r>
              <w:rPr>
                <w:rFonts w:ascii="Arial" w:hAnsi="Arial"/>
              </w:rPr>
              <w:t>7/23/2014</w:t>
            </w:r>
          </w:p>
        </w:tc>
      </w:tr>
      <w:tr w:rsidR="000E1F2E" w14:paraId="79C76064" w14:textId="77777777">
        <w:tblPrEx>
          <w:shd w:val="clear" w:color="auto" w:fill="auto"/>
        </w:tblPrEx>
        <w:trPr>
          <w:trHeight w:val="279"/>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20768AD1" w14:textId="77777777" w:rsidR="000E1F2E" w:rsidRDefault="00E1617B">
            <w:pPr>
              <w:pStyle w:val="TableStyle1"/>
              <w:jc w:val="center"/>
            </w:pPr>
            <w:r>
              <w:rPr>
                <w:rFonts w:ascii="Arial" w:hAnsi="Arial"/>
              </w:rPr>
              <w:t>A-10-33</w:t>
            </w:r>
          </w:p>
        </w:tc>
        <w:tc>
          <w:tcPr>
            <w:tcW w:w="2604" w:type="dxa"/>
            <w:tcBorders>
              <w:top w:val="nil"/>
              <w:left w:val="nil"/>
              <w:bottom w:val="nil"/>
              <w:right w:val="nil"/>
            </w:tcBorders>
            <w:shd w:val="clear" w:color="auto" w:fill="auto"/>
            <w:tcMar>
              <w:top w:w="80" w:type="dxa"/>
              <w:left w:w="80" w:type="dxa"/>
              <w:bottom w:w="80" w:type="dxa"/>
              <w:right w:w="80" w:type="dxa"/>
            </w:tcMar>
          </w:tcPr>
          <w:p w14:paraId="7EB82A3F" w14:textId="77777777" w:rsidR="000E1F2E" w:rsidRDefault="00E1617B">
            <w:pPr>
              <w:pStyle w:val="TableStyle2"/>
              <w:jc w:val="center"/>
            </w:pPr>
            <w:r>
              <w:rPr>
                <w:rFonts w:ascii="Arial" w:hAnsi="Arial"/>
              </w:rPr>
              <w:t>POI’s review weather data</w:t>
            </w:r>
          </w:p>
        </w:tc>
        <w:tc>
          <w:tcPr>
            <w:tcW w:w="1741" w:type="dxa"/>
            <w:tcBorders>
              <w:top w:val="nil"/>
              <w:left w:val="nil"/>
              <w:bottom w:val="nil"/>
              <w:right w:val="nil"/>
            </w:tcBorders>
            <w:shd w:val="clear" w:color="auto" w:fill="auto"/>
            <w:tcMar>
              <w:top w:w="80" w:type="dxa"/>
              <w:left w:w="80" w:type="dxa"/>
              <w:bottom w:w="80" w:type="dxa"/>
              <w:right w:w="80" w:type="dxa"/>
            </w:tcMar>
          </w:tcPr>
          <w:p w14:paraId="7A39A72C" w14:textId="77777777" w:rsidR="000E1F2E" w:rsidRDefault="00E1617B">
            <w:pPr>
              <w:pStyle w:val="TableStyle2"/>
              <w:jc w:val="center"/>
            </w:pPr>
            <w:r>
              <w:rPr>
                <w:rFonts w:ascii="Arial" w:hAnsi="Arial"/>
              </w:rPr>
              <w:t>CAA</w:t>
            </w:r>
          </w:p>
        </w:tc>
        <w:tc>
          <w:tcPr>
            <w:tcW w:w="2262" w:type="dxa"/>
            <w:tcBorders>
              <w:top w:val="nil"/>
              <w:left w:val="nil"/>
              <w:bottom w:val="nil"/>
              <w:right w:val="nil"/>
            </w:tcBorders>
            <w:shd w:val="clear" w:color="auto" w:fill="auto"/>
            <w:tcMar>
              <w:top w:w="80" w:type="dxa"/>
              <w:left w:w="80" w:type="dxa"/>
              <w:bottom w:w="80" w:type="dxa"/>
              <w:right w:w="80" w:type="dxa"/>
            </w:tcMar>
          </w:tcPr>
          <w:p w14:paraId="10CF3F98" w14:textId="77777777" w:rsidR="000E1F2E" w:rsidRDefault="00E1617B">
            <w:pPr>
              <w:pStyle w:val="TableStyle2"/>
              <w:jc w:val="center"/>
            </w:pPr>
            <w:r>
              <w:rPr>
                <w:rFonts w:ascii="Arial" w:hAnsi="Arial"/>
              </w:rPr>
              <w:t>7/23/2014</w:t>
            </w:r>
          </w:p>
        </w:tc>
      </w:tr>
      <w:tr w:rsidR="000E1F2E" w14:paraId="07F8DDBA" w14:textId="77777777">
        <w:tblPrEx>
          <w:shd w:val="clear" w:color="auto" w:fill="auto"/>
        </w:tblPrEx>
        <w:trPr>
          <w:trHeight w:val="433"/>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70C9C2AD" w14:textId="77777777" w:rsidR="000E1F2E" w:rsidRDefault="00E1617B">
            <w:pPr>
              <w:pStyle w:val="TableStyle1"/>
              <w:jc w:val="center"/>
            </w:pPr>
            <w:r>
              <w:rPr>
                <w:rFonts w:ascii="Arial" w:hAnsi="Arial"/>
              </w:rPr>
              <w:t>A-10-34</w:t>
            </w:r>
          </w:p>
        </w:tc>
        <w:tc>
          <w:tcPr>
            <w:tcW w:w="2604" w:type="dxa"/>
            <w:tcBorders>
              <w:top w:val="nil"/>
              <w:left w:val="nil"/>
              <w:bottom w:val="nil"/>
              <w:right w:val="nil"/>
            </w:tcBorders>
            <w:shd w:val="clear" w:color="auto" w:fill="auto"/>
            <w:tcMar>
              <w:top w:w="80" w:type="dxa"/>
              <w:left w:w="80" w:type="dxa"/>
              <w:bottom w:w="80" w:type="dxa"/>
              <w:right w:w="80" w:type="dxa"/>
            </w:tcMar>
          </w:tcPr>
          <w:p w14:paraId="073E6BD9" w14:textId="77777777" w:rsidR="000E1F2E" w:rsidRDefault="00E1617B">
            <w:pPr>
              <w:pStyle w:val="TableStyle2"/>
              <w:jc w:val="center"/>
            </w:pPr>
            <w:r>
              <w:rPr>
                <w:rFonts w:ascii="Arial" w:hAnsi="Arial"/>
              </w:rPr>
              <w:t>Update AIM icing definitions</w:t>
            </w:r>
          </w:p>
        </w:tc>
        <w:tc>
          <w:tcPr>
            <w:tcW w:w="1741" w:type="dxa"/>
            <w:tcBorders>
              <w:top w:val="nil"/>
              <w:left w:val="nil"/>
              <w:bottom w:val="nil"/>
              <w:right w:val="nil"/>
            </w:tcBorders>
            <w:shd w:val="clear" w:color="auto" w:fill="auto"/>
            <w:tcMar>
              <w:top w:w="80" w:type="dxa"/>
              <w:left w:w="80" w:type="dxa"/>
              <w:bottom w:w="80" w:type="dxa"/>
              <w:right w:w="80" w:type="dxa"/>
            </w:tcMar>
          </w:tcPr>
          <w:p w14:paraId="00BC2732" w14:textId="77777777" w:rsidR="000E1F2E" w:rsidRDefault="00E1617B">
            <w:pPr>
              <w:pStyle w:val="TableStyle2"/>
              <w:jc w:val="center"/>
            </w:pPr>
            <w:r>
              <w:rPr>
                <w:rFonts w:ascii="Arial" w:hAnsi="Arial"/>
              </w:rPr>
              <w:t>OAR</w:t>
            </w:r>
          </w:p>
        </w:tc>
        <w:tc>
          <w:tcPr>
            <w:tcW w:w="2262" w:type="dxa"/>
            <w:tcBorders>
              <w:top w:val="nil"/>
              <w:left w:val="nil"/>
              <w:bottom w:val="nil"/>
              <w:right w:val="nil"/>
            </w:tcBorders>
            <w:shd w:val="clear" w:color="auto" w:fill="auto"/>
            <w:tcMar>
              <w:top w:w="80" w:type="dxa"/>
              <w:left w:w="80" w:type="dxa"/>
              <w:bottom w:w="80" w:type="dxa"/>
              <w:right w:w="80" w:type="dxa"/>
            </w:tcMar>
          </w:tcPr>
          <w:p w14:paraId="4D3867F4" w14:textId="77777777" w:rsidR="000E1F2E" w:rsidRDefault="000E1F2E"/>
        </w:tc>
      </w:tr>
      <w:tr w:rsidR="000E1F2E" w14:paraId="622B6330" w14:textId="77777777">
        <w:tblPrEx>
          <w:shd w:val="clear" w:color="auto" w:fill="auto"/>
        </w:tblPrEx>
        <w:trPr>
          <w:trHeight w:val="279"/>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715EDE97" w14:textId="77777777" w:rsidR="000E1F2E" w:rsidRDefault="00E1617B">
            <w:pPr>
              <w:pStyle w:val="TableStyle1"/>
              <w:jc w:val="center"/>
            </w:pPr>
            <w:r>
              <w:rPr>
                <w:rFonts w:ascii="Arial" w:hAnsi="Arial"/>
                <w:u w:val="single"/>
              </w:rPr>
              <w:t>Reiterated</w:t>
            </w:r>
          </w:p>
        </w:tc>
        <w:tc>
          <w:tcPr>
            <w:tcW w:w="2604" w:type="dxa"/>
            <w:tcBorders>
              <w:top w:val="nil"/>
              <w:left w:val="nil"/>
              <w:bottom w:val="nil"/>
              <w:right w:val="nil"/>
            </w:tcBorders>
            <w:shd w:val="clear" w:color="auto" w:fill="auto"/>
            <w:tcMar>
              <w:top w:w="80" w:type="dxa"/>
              <w:left w:w="80" w:type="dxa"/>
              <w:bottom w:w="80" w:type="dxa"/>
              <w:right w:w="80" w:type="dxa"/>
            </w:tcMar>
          </w:tcPr>
          <w:p w14:paraId="5F8E45A2" w14:textId="77777777" w:rsidR="000E1F2E" w:rsidRDefault="000E1F2E"/>
        </w:tc>
        <w:tc>
          <w:tcPr>
            <w:tcW w:w="1741" w:type="dxa"/>
            <w:tcBorders>
              <w:top w:val="nil"/>
              <w:left w:val="nil"/>
              <w:bottom w:val="nil"/>
              <w:right w:val="nil"/>
            </w:tcBorders>
            <w:shd w:val="clear" w:color="auto" w:fill="auto"/>
            <w:tcMar>
              <w:top w:w="80" w:type="dxa"/>
              <w:left w:w="80" w:type="dxa"/>
              <w:bottom w:w="80" w:type="dxa"/>
              <w:right w:w="80" w:type="dxa"/>
            </w:tcMar>
          </w:tcPr>
          <w:p w14:paraId="70123E93" w14:textId="77777777" w:rsidR="000E1F2E" w:rsidRDefault="000E1F2E"/>
        </w:tc>
        <w:tc>
          <w:tcPr>
            <w:tcW w:w="2262" w:type="dxa"/>
            <w:tcBorders>
              <w:top w:val="nil"/>
              <w:left w:val="nil"/>
              <w:bottom w:val="nil"/>
              <w:right w:val="nil"/>
            </w:tcBorders>
            <w:shd w:val="clear" w:color="auto" w:fill="auto"/>
            <w:tcMar>
              <w:top w:w="80" w:type="dxa"/>
              <w:left w:w="80" w:type="dxa"/>
              <w:bottom w:w="80" w:type="dxa"/>
              <w:right w:w="80" w:type="dxa"/>
            </w:tcMar>
          </w:tcPr>
          <w:p w14:paraId="06F78EBB" w14:textId="77777777" w:rsidR="000E1F2E" w:rsidRDefault="000E1F2E"/>
        </w:tc>
      </w:tr>
      <w:tr w:rsidR="000E1F2E" w14:paraId="59989483" w14:textId="77777777">
        <w:tblPrEx>
          <w:shd w:val="clear" w:color="auto" w:fill="auto"/>
        </w:tblPrEx>
        <w:trPr>
          <w:trHeight w:val="433"/>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35891EAD" w14:textId="77777777" w:rsidR="000E1F2E" w:rsidRDefault="00E1617B">
            <w:pPr>
              <w:pStyle w:val="TableStyle1"/>
              <w:jc w:val="center"/>
            </w:pPr>
            <w:r>
              <w:rPr>
                <w:rFonts w:ascii="Arial" w:hAnsi="Arial"/>
              </w:rPr>
              <w:t>A-05-01</w:t>
            </w:r>
          </w:p>
        </w:tc>
        <w:tc>
          <w:tcPr>
            <w:tcW w:w="2604" w:type="dxa"/>
            <w:tcBorders>
              <w:top w:val="nil"/>
              <w:left w:val="nil"/>
              <w:bottom w:val="nil"/>
              <w:right w:val="nil"/>
            </w:tcBorders>
            <w:shd w:val="clear" w:color="auto" w:fill="auto"/>
            <w:tcMar>
              <w:top w:w="80" w:type="dxa"/>
              <w:left w:w="80" w:type="dxa"/>
              <w:bottom w:w="80" w:type="dxa"/>
              <w:right w:w="80" w:type="dxa"/>
            </w:tcMar>
          </w:tcPr>
          <w:p w14:paraId="686A9E73" w14:textId="77777777" w:rsidR="000E1F2E" w:rsidRDefault="00E1617B">
            <w:pPr>
              <w:pStyle w:val="TableStyle2"/>
              <w:jc w:val="center"/>
            </w:pPr>
            <w:r>
              <w:rPr>
                <w:rFonts w:ascii="Arial" w:hAnsi="Arial"/>
              </w:rPr>
              <w:t>Operators check certificate disapprovals</w:t>
            </w:r>
          </w:p>
        </w:tc>
        <w:tc>
          <w:tcPr>
            <w:tcW w:w="1741" w:type="dxa"/>
            <w:tcBorders>
              <w:top w:val="nil"/>
              <w:left w:val="nil"/>
              <w:bottom w:val="nil"/>
              <w:right w:val="nil"/>
            </w:tcBorders>
            <w:shd w:val="clear" w:color="auto" w:fill="auto"/>
            <w:tcMar>
              <w:top w:w="80" w:type="dxa"/>
              <w:left w:w="80" w:type="dxa"/>
              <w:bottom w:w="80" w:type="dxa"/>
              <w:right w:w="80" w:type="dxa"/>
            </w:tcMar>
          </w:tcPr>
          <w:p w14:paraId="5D4D862E" w14:textId="77777777" w:rsidR="000E1F2E" w:rsidRDefault="00E1617B">
            <w:pPr>
              <w:pStyle w:val="TableStyle2"/>
              <w:jc w:val="center"/>
            </w:pPr>
            <w:r>
              <w:rPr>
                <w:rFonts w:ascii="Arial" w:hAnsi="Arial"/>
              </w:rPr>
              <w:t>OAR</w:t>
            </w:r>
          </w:p>
        </w:tc>
        <w:tc>
          <w:tcPr>
            <w:tcW w:w="2262" w:type="dxa"/>
            <w:tcBorders>
              <w:top w:val="nil"/>
              <w:left w:val="nil"/>
              <w:bottom w:val="nil"/>
              <w:right w:val="nil"/>
            </w:tcBorders>
            <w:shd w:val="clear" w:color="auto" w:fill="auto"/>
            <w:tcMar>
              <w:top w:w="80" w:type="dxa"/>
              <w:left w:w="80" w:type="dxa"/>
              <w:bottom w:w="80" w:type="dxa"/>
              <w:right w:w="80" w:type="dxa"/>
            </w:tcMar>
          </w:tcPr>
          <w:p w14:paraId="02217BD7" w14:textId="77777777" w:rsidR="000E1F2E" w:rsidRDefault="000E1F2E"/>
        </w:tc>
      </w:tr>
      <w:tr w:rsidR="000E1F2E" w14:paraId="53977FC6" w14:textId="77777777">
        <w:tblPrEx>
          <w:shd w:val="clear" w:color="auto" w:fill="auto"/>
        </w:tblPrEx>
        <w:trPr>
          <w:trHeight w:val="279"/>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4D864247" w14:textId="77777777" w:rsidR="000E1F2E" w:rsidRDefault="00E1617B">
            <w:pPr>
              <w:pStyle w:val="TableStyle1"/>
              <w:jc w:val="center"/>
            </w:pPr>
            <w:r>
              <w:rPr>
                <w:rFonts w:ascii="Arial" w:hAnsi="Arial"/>
              </w:rPr>
              <w:t>A-05-14</w:t>
            </w:r>
          </w:p>
        </w:tc>
        <w:tc>
          <w:tcPr>
            <w:tcW w:w="2604" w:type="dxa"/>
            <w:tcBorders>
              <w:top w:val="nil"/>
              <w:left w:val="nil"/>
              <w:bottom w:val="nil"/>
              <w:right w:val="nil"/>
            </w:tcBorders>
            <w:shd w:val="clear" w:color="auto" w:fill="auto"/>
            <w:tcMar>
              <w:top w:w="80" w:type="dxa"/>
              <w:left w:w="80" w:type="dxa"/>
              <w:bottom w:w="80" w:type="dxa"/>
              <w:right w:w="80" w:type="dxa"/>
            </w:tcMar>
          </w:tcPr>
          <w:p w14:paraId="32A982B9" w14:textId="77777777" w:rsidR="000E1F2E" w:rsidRDefault="00E1617B">
            <w:pPr>
              <w:pStyle w:val="TableStyle2"/>
              <w:jc w:val="center"/>
            </w:pPr>
            <w:r>
              <w:rPr>
                <w:rFonts w:ascii="Arial" w:hAnsi="Arial"/>
              </w:rPr>
              <w:t>Establish remedial training</w:t>
            </w:r>
          </w:p>
        </w:tc>
        <w:tc>
          <w:tcPr>
            <w:tcW w:w="1741" w:type="dxa"/>
            <w:tcBorders>
              <w:top w:val="nil"/>
              <w:left w:val="nil"/>
              <w:bottom w:val="nil"/>
              <w:right w:val="nil"/>
            </w:tcBorders>
            <w:shd w:val="clear" w:color="auto" w:fill="auto"/>
            <w:tcMar>
              <w:top w:w="80" w:type="dxa"/>
              <w:left w:w="80" w:type="dxa"/>
              <w:bottom w:w="80" w:type="dxa"/>
              <w:right w:w="80" w:type="dxa"/>
            </w:tcMar>
          </w:tcPr>
          <w:p w14:paraId="2C08C062" w14:textId="77777777" w:rsidR="000E1F2E" w:rsidRDefault="00E1617B">
            <w:pPr>
              <w:pStyle w:val="TableStyle2"/>
              <w:jc w:val="center"/>
            </w:pPr>
            <w:r>
              <w:rPr>
                <w:rFonts w:ascii="Arial" w:hAnsi="Arial"/>
              </w:rPr>
              <w:t>CAA</w:t>
            </w:r>
          </w:p>
        </w:tc>
        <w:tc>
          <w:tcPr>
            <w:tcW w:w="2262" w:type="dxa"/>
            <w:tcBorders>
              <w:top w:val="nil"/>
              <w:left w:val="nil"/>
              <w:bottom w:val="nil"/>
              <w:right w:val="nil"/>
            </w:tcBorders>
            <w:shd w:val="clear" w:color="auto" w:fill="auto"/>
            <w:tcMar>
              <w:top w:w="80" w:type="dxa"/>
              <w:left w:w="80" w:type="dxa"/>
              <w:bottom w:w="80" w:type="dxa"/>
              <w:right w:w="80" w:type="dxa"/>
            </w:tcMar>
          </w:tcPr>
          <w:p w14:paraId="66C94CE3" w14:textId="77777777" w:rsidR="000E1F2E" w:rsidRDefault="00E1617B">
            <w:pPr>
              <w:pStyle w:val="TableStyle2"/>
              <w:jc w:val="center"/>
            </w:pPr>
            <w:r>
              <w:rPr>
                <w:rFonts w:ascii="Arial" w:hAnsi="Arial"/>
              </w:rPr>
              <w:t>3/18/2014</w:t>
            </w:r>
          </w:p>
        </w:tc>
      </w:tr>
      <w:tr w:rsidR="000E1F2E" w14:paraId="6F235F2A" w14:textId="77777777">
        <w:tblPrEx>
          <w:shd w:val="clear" w:color="auto" w:fill="auto"/>
        </w:tblPrEx>
        <w:trPr>
          <w:trHeight w:val="279"/>
          <w:jc w:val="center"/>
        </w:trPr>
        <w:tc>
          <w:tcPr>
            <w:tcW w:w="2072" w:type="dxa"/>
            <w:tcBorders>
              <w:top w:val="nil"/>
              <w:left w:val="nil"/>
              <w:bottom w:val="nil"/>
              <w:right w:val="nil"/>
            </w:tcBorders>
            <w:shd w:val="clear" w:color="auto" w:fill="auto"/>
            <w:tcMar>
              <w:top w:w="80" w:type="dxa"/>
              <w:left w:w="80" w:type="dxa"/>
              <w:bottom w:w="80" w:type="dxa"/>
              <w:right w:w="80" w:type="dxa"/>
            </w:tcMar>
          </w:tcPr>
          <w:p w14:paraId="760DAA90" w14:textId="77777777" w:rsidR="000E1F2E" w:rsidRDefault="00E1617B">
            <w:pPr>
              <w:pStyle w:val="TableStyle1"/>
              <w:jc w:val="center"/>
            </w:pPr>
            <w:r>
              <w:rPr>
                <w:rFonts w:ascii="Arial" w:hAnsi="Arial"/>
              </w:rPr>
              <w:t>A-07-13</w:t>
            </w:r>
          </w:p>
        </w:tc>
        <w:tc>
          <w:tcPr>
            <w:tcW w:w="2604" w:type="dxa"/>
            <w:tcBorders>
              <w:top w:val="nil"/>
              <w:left w:val="nil"/>
              <w:bottom w:val="nil"/>
              <w:right w:val="nil"/>
            </w:tcBorders>
            <w:shd w:val="clear" w:color="auto" w:fill="auto"/>
            <w:tcMar>
              <w:top w:w="80" w:type="dxa"/>
              <w:left w:w="80" w:type="dxa"/>
              <w:bottom w:w="80" w:type="dxa"/>
              <w:right w:w="80" w:type="dxa"/>
            </w:tcMar>
          </w:tcPr>
          <w:p w14:paraId="05555C23" w14:textId="77777777" w:rsidR="000E1F2E" w:rsidRDefault="00E1617B">
            <w:pPr>
              <w:pStyle w:val="TableStyle2"/>
              <w:jc w:val="center"/>
            </w:pPr>
            <w:r>
              <w:rPr>
                <w:rFonts w:ascii="Arial" w:hAnsi="Arial"/>
              </w:rPr>
              <w:t>Teach monitoring skills</w:t>
            </w:r>
          </w:p>
        </w:tc>
        <w:tc>
          <w:tcPr>
            <w:tcW w:w="1741" w:type="dxa"/>
            <w:tcBorders>
              <w:top w:val="nil"/>
              <w:left w:val="nil"/>
              <w:bottom w:val="nil"/>
              <w:right w:val="nil"/>
            </w:tcBorders>
            <w:shd w:val="clear" w:color="auto" w:fill="auto"/>
            <w:tcMar>
              <w:top w:w="80" w:type="dxa"/>
              <w:left w:w="80" w:type="dxa"/>
              <w:bottom w:w="80" w:type="dxa"/>
              <w:right w:w="80" w:type="dxa"/>
            </w:tcMar>
          </w:tcPr>
          <w:p w14:paraId="36BC6E14" w14:textId="77777777" w:rsidR="000E1F2E" w:rsidRDefault="00E1617B">
            <w:pPr>
              <w:pStyle w:val="TableStyle2"/>
              <w:jc w:val="center"/>
            </w:pPr>
            <w:r>
              <w:rPr>
                <w:rFonts w:ascii="Arial" w:hAnsi="Arial"/>
              </w:rPr>
              <w:t>OAR</w:t>
            </w:r>
          </w:p>
        </w:tc>
        <w:tc>
          <w:tcPr>
            <w:tcW w:w="2262" w:type="dxa"/>
            <w:tcBorders>
              <w:top w:val="nil"/>
              <w:left w:val="nil"/>
              <w:bottom w:val="nil"/>
              <w:right w:val="nil"/>
            </w:tcBorders>
            <w:shd w:val="clear" w:color="auto" w:fill="auto"/>
            <w:tcMar>
              <w:top w:w="80" w:type="dxa"/>
              <w:left w:w="80" w:type="dxa"/>
              <w:bottom w:w="80" w:type="dxa"/>
              <w:right w:w="80" w:type="dxa"/>
            </w:tcMar>
          </w:tcPr>
          <w:p w14:paraId="75D7B40D" w14:textId="77777777" w:rsidR="000E1F2E" w:rsidRDefault="000E1F2E"/>
        </w:tc>
      </w:tr>
    </w:tbl>
    <w:p w14:paraId="3B06C59F" w14:textId="77777777" w:rsidR="000E1F2E" w:rsidRDefault="000E1F2E">
      <w:pPr>
        <w:pStyle w:val="Body"/>
        <w:jc w:val="center"/>
        <w:rPr>
          <w:b/>
          <w:bCs/>
          <w:sz w:val="24"/>
          <w:szCs w:val="24"/>
        </w:rPr>
      </w:pPr>
    </w:p>
    <w:p w14:paraId="0DD825E1" w14:textId="77777777" w:rsidR="000E1F2E" w:rsidRDefault="000E1F2E">
      <w:pPr>
        <w:pStyle w:val="Body"/>
        <w:jc w:val="center"/>
        <w:rPr>
          <w:b/>
          <w:bCs/>
          <w:sz w:val="24"/>
          <w:szCs w:val="24"/>
        </w:rPr>
      </w:pPr>
    </w:p>
    <w:p w14:paraId="3831D64C" w14:textId="77777777" w:rsidR="002A49D2" w:rsidRDefault="002A49D2">
      <w:pPr>
        <w:pStyle w:val="Body"/>
        <w:jc w:val="both"/>
        <w:rPr>
          <w:sz w:val="24"/>
          <w:szCs w:val="24"/>
        </w:rPr>
      </w:pPr>
    </w:p>
    <w:p w14:paraId="6AF6E5DE" w14:textId="77777777" w:rsidR="002A49D2" w:rsidRDefault="002A49D2">
      <w:pPr>
        <w:pStyle w:val="Body"/>
        <w:jc w:val="both"/>
        <w:rPr>
          <w:sz w:val="24"/>
          <w:szCs w:val="24"/>
        </w:rPr>
      </w:pPr>
    </w:p>
    <w:p w14:paraId="1CDD61B3" w14:textId="77777777" w:rsidR="002A49D2" w:rsidRDefault="002A49D2">
      <w:pPr>
        <w:pStyle w:val="Body"/>
        <w:jc w:val="both"/>
        <w:rPr>
          <w:sz w:val="24"/>
          <w:szCs w:val="24"/>
        </w:rPr>
      </w:pPr>
    </w:p>
    <w:p w14:paraId="73F9C0CE" w14:textId="77777777" w:rsidR="002A49D2" w:rsidRDefault="002A49D2">
      <w:pPr>
        <w:pStyle w:val="Body"/>
        <w:jc w:val="both"/>
        <w:rPr>
          <w:sz w:val="24"/>
          <w:szCs w:val="24"/>
        </w:rPr>
      </w:pPr>
    </w:p>
    <w:p w14:paraId="4F668231" w14:textId="77777777" w:rsidR="002A49D2" w:rsidRDefault="002A49D2">
      <w:pPr>
        <w:pStyle w:val="Body"/>
        <w:jc w:val="both"/>
        <w:rPr>
          <w:sz w:val="24"/>
          <w:szCs w:val="24"/>
        </w:rPr>
      </w:pPr>
    </w:p>
    <w:p w14:paraId="2A9D663F" w14:textId="77777777" w:rsidR="000E1F2E" w:rsidRDefault="000E1F2E">
      <w:pPr>
        <w:pStyle w:val="Body"/>
        <w:jc w:val="both"/>
        <w:rPr>
          <w:sz w:val="24"/>
          <w:szCs w:val="24"/>
        </w:rPr>
      </w:pPr>
    </w:p>
    <w:p w14:paraId="73684D8F" w14:textId="77777777" w:rsidR="000E1F2E" w:rsidRDefault="000E1F2E">
      <w:pPr>
        <w:pStyle w:val="Body"/>
        <w:jc w:val="center"/>
        <w:rPr>
          <w:b/>
          <w:bCs/>
          <w:sz w:val="24"/>
          <w:szCs w:val="24"/>
        </w:rPr>
      </w:pPr>
    </w:p>
    <w:p w14:paraId="03745C84" w14:textId="77777777" w:rsidR="000E1F2E" w:rsidRDefault="00E1617B">
      <w:pPr>
        <w:pStyle w:val="Body"/>
        <w:jc w:val="center"/>
        <w:rPr>
          <w:b/>
          <w:bCs/>
          <w:sz w:val="24"/>
          <w:szCs w:val="24"/>
        </w:rPr>
      </w:pPr>
      <w:r>
        <w:rPr>
          <w:b/>
          <w:bCs/>
          <w:sz w:val="24"/>
          <w:szCs w:val="24"/>
        </w:rPr>
        <w:lastRenderedPageBreak/>
        <w:t>Table 3 - Status of Provisions of PL 111-216</w:t>
      </w:r>
    </w:p>
    <w:p w14:paraId="220DE748" w14:textId="77777777" w:rsidR="000E1F2E" w:rsidRDefault="00E1617B">
      <w:pPr>
        <w:pStyle w:val="Body"/>
        <w:jc w:val="center"/>
        <w:rPr>
          <w:sz w:val="24"/>
          <w:szCs w:val="24"/>
        </w:rPr>
      </w:pPr>
      <w:r>
        <w:rPr>
          <w:b/>
          <w:bCs/>
          <w:sz w:val="24"/>
          <w:szCs w:val="24"/>
        </w:rPr>
        <w:t>as of March 2017</w:t>
      </w:r>
    </w:p>
    <w:p w14:paraId="0A6E78E5" w14:textId="77777777" w:rsidR="000E1F2E" w:rsidRDefault="000E1F2E">
      <w:pPr>
        <w:pStyle w:val="Body"/>
        <w:jc w:val="center"/>
        <w:rPr>
          <w:b/>
          <w:bCs/>
          <w:sz w:val="24"/>
          <w:szCs w:val="24"/>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19"/>
        <w:gridCol w:w="2618"/>
        <w:gridCol w:w="1830"/>
        <w:gridCol w:w="3193"/>
      </w:tblGrid>
      <w:tr w:rsidR="000E1F2E" w14:paraId="393481AE" w14:textId="77777777">
        <w:trPr>
          <w:trHeight w:val="320"/>
          <w:tblHeader/>
          <w:jc w:val="center"/>
        </w:trPr>
        <w:tc>
          <w:tcPr>
            <w:tcW w:w="1719" w:type="dxa"/>
            <w:tcBorders>
              <w:top w:val="nil"/>
              <w:left w:val="nil"/>
              <w:bottom w:val="single" w:sz="24" w:space="0" w:color="515151"/>
              <w:right w:val="nil"/>
            </w:tcBorders>
            <w:shd w:val="clear" w:color="auto" w:fill="auto"/>
            <w:tcMar>
              <w:top w:w="80" w:type="dxa"/>
              <w:left w:w="80" w:type="dxa"/>
              <w:bottom w:w="80" w:type="dxa"/>
              <w:right w:w="80" w:type="dxa"/>
            </w:tcMar>
          </w:tcPr>
          <w:p w14:paraId="4B20A476" w14:textId="77777777" w:rsidR="000E1F2E" w:rsidRDefault="00E1617B">
            <w:pPr>
              <w:pStyle w:val="TableStyle1"/>
              <w:jc w:val="center"/>
            </w:pPr>
            <w:r>
              <w:rPr>
                <w:rFonts w:ascii="Times New Roman" w:hAnsi="Times New Roman"/>
                <w:i/>
                <w:iCs/>
                <w:sz w:val="24"/>
                <w:szCs w:val="24"/>
              </w:rPr>
              <w:t>Section</w:t>
            </w:r>
          </w:p>
        </w:tc>
        <w:tc>
          <w:tcPr>
            <w:tcW w:w="2617" w:type="dxa"/>
            <w:tcBorders>
              <w:top w:val="nil"/>
              <w:left w:val="nil"/>
              <w:bottom w:val="single" w:sz="24" w:space="0" w:color="515151"/>
              <w:right w:val="nil"/>
            </w:tcBorders>
            <w:shd w:val="clear" w:color="auto" w:fill="auto"/>
            <w:tcMar>
              <w:top w:w="80" w:type="dxa"/>
              <w:left w:w="80" w:type="dxa"/>
              <w:bottom w:w="80" w:type="dxa"/>
              <w:right w:w="80" w:type="dxa"/>
            </w:tcMar>
          </w:tcPr>
          <w:p w14:paraId="3E521058" w14:textId="77777777" w:rsidR="000E1F2E" w:rsidRDefault="00E1617B">
            <w:pPr>
              <w:pStyle w:val="TableStyle1"/>
              <w:jc w:val="center"/>
            </w:pPr>
            <w:r>
              <w:rPr>
                <w:rFonts w:ascii="Times New Roman" w:hAnsi="Times New Roman"/>
                <w:i/>
                <w:iCs/>
                <w:sz w:val="24"/>
                <w:szCs w:val="24"/>
              </w:rPr>
              <w:t>Issue Area</w:t>
            </w:r>
          </w:p>
        </w:tc>
        <w:tc>
          <w:tcPr>
            <w:tcW w:w="1830" w:type="dxa"/>
            <w:tcBorders>
              <w:top w:val="nil"/>
              <w:left w:val="nil"/>
              <w:bottom w:val="single" w:sz="24" w:space="0" w:color="515151"/>
              <w:right w:val="nil"/>
            </w:tcBorders>
            <w:shd w:val="clear" w:color="auto" w:fill="auto"/>
            <w:tcMar>
              <w:top w:w="80" w:type="dxa"/>
              <w:left w:w="80" w:type="dxa"/>
              <w:bottom w:w="80" w:type="dxa"/>
              <w:right w:w="80" w:type="dxa"/>
            </w:tcMar>
          </w:tcPr>
          <w:p w14:paraId="6D49D2C3" w14:textId="77777777" w:rsidR="000E1F2E" w:rsidRDefault="00E1617B">
            <w:pPr>
              <w:pStyle w:val="TableStyle1"/>
              <w:jc w:val="center"/>
            </w:pPr>
            <w:r>
              <w:rPr>
                <w:rFonts w:ascii="Times New Roman" w:hAnsi="Times New Roman"/>
                <w:i/>
                <w:iCs/>
                <w:sz w:val="24"/>
                <w:szCs w:val="24"/>
              </w:rPr>
              <w:t>Product</w:t>
            </w:r>
          </w:p>
        </w:tc>
        <w:tc>
          <w:tcPr>
            <w:tcW w:w="3192" w:type="dxa"/>
            <w:tcBorders>
              <w:top w:val="nil"/>
              <w:left w:val="nil"/>
              <w:bottom w:val="single" w:sz="24" w:space="0" w:color="515151"/>
              <w:right w:val="nil"/>
            </w:tcBorders>
            <w:shd w:val="clear" w:color="auto" w:fill="auto"/>
            <w:tcMar>
              <w:top w:w="80" w:type="dxa"/>
              <w:left w:w="80" w:type="dxa"/>
              <w:bottom w:w="80" w:type="dxa"/>
              <w:right w:w="80" w:type="dxa"/>
            </w:tcMar>
          </w:tcPr>
          <w:p w14:paraId="44277807" w14:textId="77777777" w:rsidR="000E1F2E" w:rsidRDefault="00E1617B">
            <w:pPr>
              <w:pStyle w:val="TableStyle1"/>
              <w:jc w:val="center"/>
            </w:pPr>
            <w:r>
              <w:rPr>
                <w:rFonts w:ascii="Times New Roman" w:hAnsi="Times New Roman"/>
                <w:i/>
                <w:iCs/>
                <w:sz w:val="24"/>
                <w:szCs w:val="24"/>
              </w:rPr>
              <w:t>Date Completed</w:t>
            </w:r>
          </w:p>
        </w:tc>
      </w:tr>
      <w:tr w:rsidR="000E1F2E" w14:paraId="19F46D9E" w14:textId="77777777">
        <w:tblPrEx>
          <w:shd w:val="clear" w:color="auto" w:fill="auto"/>
        </w:tblPrEx>
        <w:trPr>
          <w:trHeight w:val="463"/>
          <w:jc w:val="center"/>
        </w:trPr>
        <w:tc>
          <w:tcPr>
            <w:tcW w:w="1719" w:type="dxa"/>
            <w:tcBorders>
              <w:top w:val="single" w:sz="24" w:space="0" w:color="515151"/>
              <w:left w:val="nil"/>
              <w:bottom w:val="nil"/>
              <w:right w:val="nil"/>
            </w:tcBorders>
            <w:shd w:val="clear" w:color="auto" w:fill="auto"/>
            <w:tcMar>
              <w:top w:w="80" w:type="dxa"/>
              <w:left w:w="80" w:type="dxa"/>
              <w:bottom w:w="80" w:type="dxa"/>
              <w:right w:w="80" w:type="dxa"/>
            </w:tcMar>
          </w:tcPr>
          <w:p w14:paraId="2E5FC196" w14:textId="77777777" w:rsidR="000E1F2E" w:rsidRDefault="00E1617B">
            <w:pPr>
              <w:pStyle w:val="TableStyle1"/>
              <w:jc w:val="center"/>
            </w:pPr>
            <w:r>
              <w:rPr>
                <w:rFonts w:ascii="Arial" w:hAnsi="Arial"/>
              </w:rPr>
              <w:t>202</w:t>
            </w:r>
          </w:p>
        </w:tc>
        <w:tc>
          <w:tcPr>
            <w:tcW w:w="2617" w:type="dxa"/>
            <w:tcBorders>
              <w:top w:val="single" w:sz="24" w:space="0" w:color="515151"/>
              <w:left w:val="nil"/>
              <w:bottom w:val="nil"/>
              <w:right w:val="nil"/>
            </w:tcBorders>
            <w:shd w:val="clear" w:color="auto" w:fill="auto"/>
            <w:tcMar>
              <w:top w:w="80" w:type="dxa"/>
              <w:left w:w="80" w:type="dxa"/>
              <w:bottom w:w="80" w:type="dxa"/>
              <w:right w:w="80" w:type="dxa"/>
            </w:tcMar>
          </w:tcPr>
          <w:p w14:paraId="2A925503" w14:textId="77777777" w:rsidR="000E1F2E" w:rsidRDefault="00E1617B">
            <w:pPr>
              <w:pStyle w:val="TableStyle2"/>
              <w:jc w:val="center"/>
            </w:pPr>
            <w:r>
              <w:rPr>
                <w:rFonts w:ascii="Arial" w:hAnsi="Arial"/>
              </w:rPr>
              <w:t>Annual report on 121 safety</w:t>
            </w:r>
          </w:p>
        </w:tc>
        <w:tc>
          <w:tcPr>
            <w:tcW w:w="1830" w:type="dxa"/>
            <w:tcBorders>
              <w:top w:val="single" w:sz="24" w:space="0" w:color="515151"/>
              <w:left w:val="nil"/>
              <w:bottom w:val="nil"/>
              <w:right w:val="nil"/>
            </w:tcBorders>
            <w:shd w:val="clear" w:color="auto" w:fill="auto"/>
            <w:tcMar>
              <w:top w:w="80" w:type="dxa"/>
              <w:left w:w="80" w:type="dxa"/>
              <w:bottom w:w="80" w:type="dxa"/>
              <w:right w:w="80" w:type="dxa"/>
            </w:tcMar>
          </w:tcPr>
          <w:p w14:paraId="4AD40C70" w14:textId="77777777" w:rsidR="000E1F2E" w:rsidRDefault="00E1617B">
            <w:pPr>
              <w:pStyle w:val="TableStyle2"/>
              <w:jc w:val="center"/>
            </w:pPr>
            <w:r>
              <w:rPr>
                <w:rFonts w:ascii="Arial" w:hAnsi="Arial"/>
              </w:rPr>
              <w:t>Report</w:t>
            </w:r>
          </w:p>
        </w:tc>
        <w:tc>
          <w:tcPr>
            <w:tcW w:w="3192" w:type="dxa"/>
            <w:tcBorders>
              <w:top w:val="single" w:sz="24" w:space="0" w:color="515151"/>
              <w:left w:val="nil"/>
              <w:bottom w:val="nil"/>
              <w:right w:val="nil"/>
            </w:tcBorders>
            <w:shd w:val="clear" w:color="auto" w:fill="auto"/>
            <w:tcMar>
              <w:top w:w="80" w:type="dxa"/>
              <w:left w:w="80" w:type="dxa"/>
              <w:bottom w:w="80" w:type="dxa"/>
              <w:right w:w="80" w:type="dxa"/>
            </w:tcMar>
          </w:tcPr>
          <w:p w14:paraId="43EDEEF1" w14:textId="77777777" w:rsidR="000E1F2E" w:rsidRDefault="00E1617B">
            <w:pPr>
              <w:pStyle w:val="TableStyle2"/>
              <w:jc w:val="center"/>
            </w:pPr>
            <w:r>
              <w:rPr>
                <w:rFonts w:ascii="Arial" w:hAnsi="Arial"/>
              </w:rPr>
              <w:t>annual</w:t>
            </w:r>
          </w:p>
        </w:tc>
      </w:tr>
      <w:tr w:rsidR="000E1F2E" w14:paraId="7C25734C" w14:textId="77777777">
        <w:tblPrEx>
          <w:shd w:val="clear" w:color="auto" w:fill="auto"/>
        </w:tblPrEx>
        <w:trPr>
          <w:trHeight w:val="280"/>
          <w:jc w:val="center"/>
        </w:trPr>
        <w:tc>
          <w:tcPr>
            <w:tcW w:w="1719" w:type="dxa"/>
            <w:tcBorders>
              <w:top w:val="nil"/>
              <w:left w:val="nil"/>
              <w:bottom w:val="nil"/>
              <w:right w:val="nil"/>
            </w:tcBorders>
            <w:shd w:val="clear" w:color="auto" w:fill="auto"/>
            <w:tcMar>
              <w:top w:w="80" w:type="dxa"/>
              <w:left w:w="80" w:type="dxa"/>
              <w:bottom w:w="80" w:type="dxa"/>
              <w:right w:w="80" w:type="dxa"/>
            </w:tcMar>
          </w:tcPr>
          <w:p w14:paraId="511E069C" w14:textId="77777777" w:rsidR="000E1F2E" w:rsidRDefault="00E1617B">
            <w:pPr>
              <w:pStyle w:val="TableStyle1"/>
              <w:jc w:val="center"/>
            </w:pPr>
            <w:r>
              <w:rPr>
                <w:rFonts w:ascii="Arial" w:hAnsi="Arial"/>
              </w:rPr>
              <w:t>203</w:t>
            </w:r>
          </w:p>
        </w:tc>
        <w:tc>
          <w:tcPr>
            <w:tcW w:w="2617" w:type="dxa"/>
            <w:tcBorders>
              <w:top w:val="nil"/>
              <w:left w:val="nil"/>
              <w:bottom w:val="nil"/>
              <w:right w:val="nil"/>
            </w:tcBorders>
            <w:shd w:val="clear" w:color="auto" w:fill="auto"/>
            <w:tcMar>
              <w:top w:w="80" w:type="dxa"/>
              <w:left w:w="80" w:type="dxa"/>
              <w:bottom w:w="80" w:type="dxa"/>
              <w:right w:w="80" w:type="dxa"/>
            </w:tcMar>
          </w:tcPr>
          <w:p w14:paraId="07F08211" w14:textId="77777777" w:rsidR="000E1F2E" w:rsidRDefault="00E1617B">
            <w:pPr>
              <w:pStyle w:val="TableStyle2"/>
              <w:jc w:val="center"/>
            </w:pPr>
            <w:r>
              <w:rPr>
                <w:rFonts w:ascii="Arial" w:hAnsi="Arial"/>
              </w:rPr>
              <w:t>Pilot records</w:t>
            </w:r>
          </w:p>
        </w:tc>
        <w:tc>
          <w:tcPr>
            <w:tcW w:w="1830" w:type="dxa"/>
            <w:tcBorders>
              <w:top w:val="nil"/>
              <w:left w:val="nil"/>
              <w:bottom w:val="nil"/>
              <w:right w:val="nil"/>
            </w:tcBorders>
            <w:shd w:val="clear" w:color="auto" w:fill="auto"/>
            <w:tcMar>
              <w:top w:w="80" w:type="dxa"/>
              <w:left w:w="80" w:type="dxa"/>
              <w:bottom w:w="80" w:type="dxa"/>
              <w:right w:w="80" w:type="dxa"/>
            </w:tcMar>
          </w:tcPr>
          <w:p w14:paraId="30BA6F2A" w14:textId="77777777" w:rsidR="000E1F2E" w:rsidRDefault="00E1617B">
            <w:pPr>
              <w:pStyle w:val="TableStyle2"/>
              <w:jc w:val="center"/>
            </w:pPr>
            <w:r>
              <w:rPr>
                <w:rFonts w:ascii="Arial" w:hAnsi="Arial"/>
              </w:rPr>
              <w:t>Rule</w:t>
            </w:r>
          </w:p>
        </w:tc>
        <w:tc>
          <w:tcPr>
            <w:tcW w:w="3192" w:type="dxa"/>
            <w:tcBorders>
              <w:top w:val="nil"/>
              <w:left w:val="nil"/>
              <w:bottom w:val="nil"/>
              <w:right w:val="nil"/>
            </w:tcBorders>
            <w:shd w:val="clear" w:color="auto" w:fill="auto"/>
            <w:tcMar>
              <w:top w:w="80" w:type="dxa"/>
              <w:left w:w="80" w:type="dxa"/>
              <w:bottom w:w="80" w:type="dxa"/>
              <w:right w:w="80" w:type="dxa"/>
            </w:tcMar>
          </w:tcPr>
          <w:p w14:paraId="7B475F71" w14:textId="77777777" w:rsidR="000E1F2E" w:rsidRDefault="000E1F2E"/>
        </w:tc>
      </w:tr>
      <w:tr w:rsidR="000E1F2E" w14:paraId="74A14771" w14:textId="77777777">
        <w:tblPrEx>
          <w:shd w:val="clear" w:color="auto" w:fill="auto"/>
        </w:tblPrEx>
        <w:trPr>
          <w:trHeight w:val="433"/>
          <w:jc w:val="center"/>
        </w:trPr>
        <w:tc>
          <w:tcPr>
            <w:tcW w:w="1719" w:type="dxa"/>
            <w:tcBorders>
              <w:top w:val="nil"/>
              <w:left w:val="nil"/>
              <w:bottom w:val="nil"/>
              <w:right w:val="nil"/>
            </w:tcBorders>
            <w:shd w:val="clear" w:color="auto" w:fill="auto"/>
            <w:tcMar>
              <w:top w:w="80" w:type="dxa"/>
              <w:left w:w="80" w:type="dxa"/>
              <w:bottom w:w="80" w:type="dxa"/>
              <w:right w:w="80" w:type="dxa"/>
            </w:tcMar>
          </w:tcPr>
          <w:p w14:paraId="43C5378D" w14:textId="77777777" w:rsidR="000E1F2E" w:rsidRDefault="00E1617B">
            <w:pPr>
              <w:pStyle w:val="TableStyle1"/>
              <w:jc w:val="center"/>
            </w:pPr>
            <w:r>
              <w:rPr>
                <w:rFonts w:ascii="Arial" w:hAnsi="Arial"/>
              </w:rPr>
              <w:t>204</w:t>
            </w:r>
          </w:p>
        </w:tc>
        <w:tc>
          <w:tcPr>
            <w:tcW w:w="2617" w:type="dxa"/>
            <w:tcBorders>
              <w:top w:val="nil"/>
              <w:left w:val="nil"/>
              <w:bottom w:val="nil"/>
              <w:right w:val="nil"/>
            </w:tcBorders>
            <w:shd w:val="clear" w:color="auto" w:fill="auto"/>
            <w:tcMar>
              <w:top w:w="80" w:type="dxa"/>
              <w:left w:w="80" w:type="dxa"/>
              <w:bottom w:w="80" w:type="dxa"/>
              <w:right w:w="80" w:type="dxa"/>
            </w:tcMar>
          </w:tcPr>
          <w:p w14:paraId="7FF0E952" w14:textId="77777777" w:rsidR="000E1F2E" w:rsidRDefault="00E1617B">
            <w:pPr>
              <w:pStyle w:val="TableStyle2"/>
              <w:jc w:val="center"/>
            </w:pPr>
            <w:r>
              <w:rPr>
                <w:rFonts w:ascii="Arial" w:hAnsi="Arial"/>
              </w:rPr>
              <w:t>Air Carrier Safety Task Force</w:t>
            </w:r>
          </w:p>
        </w:tc>
        <w:tc>
          <w:tcPr>
            <w:tcW w:w="1830" w:type="dxa"/>
            <w:tcBorders>
              <w:top w:val="nil"/>
              <w:left w:val="nil"/>
              <w:bottom w:val="nil"/>
              <w:right w:val="nil"/>
            </w:tcBorders>
            <w:shd w:val="clear" w:color="auto" w:fill="auto"/>
            <w:tcMar>
              <w:top w:w="80" w:type="dxa"/>
              <w:left w:w="80" w:type="dxa"/>
              <w:bottom w:w="80" w:type="dxa"/>
              <w:right w:w="80" w:type="dxa"/>
            </w:tcMar>
          </w:tcPr>
          <w:p w14:paraId="5833EB78" w14:textId="77777777" w:rsidR="000E1F2E" w:rsidRDefault="00E1617B">
            <w:pPr>
              <w:pStyle w:val="TableStyle2"/>
              <w:jc w:val="center"/>
            </w:pPr>
            <w:r>
              <w:rPr>
                <w:rFonts w:ascii="Arial" w:hAnsi="Arial"/>
              </w:rPr>
              <w:t>Report</w:t>
            </w:r>
          </w:p>
        </w:tc>
        <w:tc>
          <w:tcPr>
            <w:tcW w:w="3192" w:type="dxa"/>
            <w:tcBorders>
              <w:top w:val="nil"/>
              <w:left w:val="nil"/>
              <w:bottom w:val="nil"/>
              <w:right w:val="nil"/>
            </w:tcBorders>
            <w:shd w:val="clear" w:color="auto" w:fill="auto"/>
            <w:tcMar>
              <w:top w:w="80" w:type="dxa"/>
              <w:left w:w="80" w:type="dxa"/>
              <w:bottom w:w="80" w:type="dxa"/>
              <w:right w:w="80" w:type="dxa"/>
            </w:tcMar>
          </w:tcPr>
          <w:p w14:paraId="5ADD3E06" w14:textId="77777777" w:rsidR="000E1F2E" w:rsidRDefault="00E1617B">
            <w:pPr>
              <w:pStyle w:val="TableStyle2"/>
              <w:jc w:val="center"/>
            </w:pPr>
            <w:r>
              <w:rPr>
                <w:rFonts w:ascii="Arial" w:hAnsi="Arial"/>
              </w:rPr>
              <w:t>7/31/2012</w:t>
            </w:r>
          </w:p>
        </w:tc>
      </w:tr>
      <w:tr w:rsidR="000E1F2E" w14:paraId="055EBB10" w14:textId="77777777">
        <w:tblPrEx>
          <w:shd w:val="clear" w:color="auto" w:fill="auto"/>
        </w:tblPrEx>
        <w:trPr>
          <w:trHeight w:val="280"/>
          <w:jc w:val="center"/>
        </w:trPr>
        <w:tc>
          <w:tcPr>
            <w:tcW w:w="1719" w:type="dxa"/>
            <w:tcBorders>
              <w:top w:val="nil"/>
              <w:left w:val="nil"/>
              <w:bottom w:val="nil"/>
              <w:right w:val="nil"/>
            </w:tcBorders>
            <w:shd w:val="clear" w:color="auto" w:fill="auto"/>
            <w:tcMar>
              <w:top w:w="80" w:type="dxa"/>
              <w:left w:w="80" w:type="dxa"/>
              <w:bottom w:w="80" w:type="dxa"/>
              <w:right w:w="80" w:type="dxa"/>
            </w:tcMar>
          </w:tcPr>
          <w:p w14:paraId="6A3E9D07" w14:textId="77777777" w:rsidR="000E1F2E" w:rsidRDefault="00E1617B">
            <w:pPr>
              <w:pStyle w:val="TableStyle1"/>
              <w:jc w:val="center"/>
            </w:pPr>
            <w:r>
              <w:rPr>
                <w:rFonts w:ascii="Arial" w:hAnsi="Arial"/>
              </w:rPr>
              <w:t>205</w:t>
            </w:r>
          </w:p>
        </w:tc>
        <w:tc>
          <w:tcPr>
            <w:tcW w:w="2617" w:type="dxa"/>
            <w:tcBorders>
              <w:top w:val="nil"/>
              <w:left w:val="nil"/>
              <w:bottom w:val="nil"/>
              <w:right w:val="nil"/>
            </w:tcBorders>
            <w:shd w:val="clear" w:color="auto" w:fill="auto"/>
            <w:tcMar>
              <w:top w:w="80" w:type="dxa"/>
              <w:left w:w="80" w:type="dxa"/>
              <w:bottom w:w="80" w:type="dxa"/>
              <w:right w:w="80" w:type="dxa"/>
            </w:tcMar>
          </w:tcPr>
          <w:p w14:paraId="7F1B13CB" w14:textId="77777777" w:rsidR="000E1F2E" w:rsidRDefault="00E1617B">
            <w:pPr>
              <w:pStyle w:val="TableStyle2"/>
              <w:jc w:val="center"/>
            </w:pPr>
            <w:r>
              <w:rPr>
                <w:rFonts w:ascii="Arial" w:hAnsi="Arial"/>
              </w:rPr>
              <w:t>FAA inspectors review</w:t>
            </w:r>
          </w:p>
        </w:tc>
        <w:tc>
          <w:tcPr>
            <w:tcW w:w="1830" w:type="dxa"/>
            <w:tcBorders>
              <w:top w:val="nil"/>
              <w:left w:val="nil"/>
              <w:bottom w:val="nil"/>
              <w:right w:val="nil"/>
            </w:tcBorders>
            <w:shd w:val="clear" w:color="auto" w:fill="auto"/>
            <w:tcMar>
              <w:top w:w="80" w:type="dxa"/>
              <w:left w:w="80" w:type="dxa"/>
              <w:bottom w:w="80" w:type="dxa"/>
              <w:right w:w="80" w:type="dxa"/>
            </w:tcMar>
          </w:tcPr>
          <w:p w14:paraId="4CD3556C" w14:textId="77777777" w:rsidR="000E1F2E" w:rsidRDefault="00E1617B">
            <w:pPr>
              <w:pStyle w:val="TableStyle2"/>
              <w:jc w:val="center"/>
            </w:pPr>
            <w:r>
              <w:rPr>
                <w:rFonts w:ascii="Arial" w:hAnsi="Arial"/>
              </w:rPr>
              <w:t>Report</w:t>
            </w:r>
          </w:p>
        </w:tc>
        <w:tc>
          <w:tcPr>
            <w:tcW w:w="3192" w:type="dxa"/>
            <w:tcBorders>
              <w:top w:val="nil"/>
              <w:left w:val="nil"/>
              <w:bottom w:val="nil"/>
              <w:right w:val="nil"/>
            </w:tcBorders>
            <w:shd w:val="clear" w:color="auto" w:fill="auto"/>
            <w:tcMar>
              <w:top w:w="80" w:type="dxa"/>
              <w:left w:w="80" w:type="dxa"/>
              <w:bottom w:w="80" w:type="dxa"/>
              <w:right w:w="80" w:type="dxa"/>
            </w:tcMar>
          </w:tcPr>
          <w:p w14:paraId="6280E1AE" w14:textId="77777777" w:rsidR="000E1F2E" w:rsidRDefault="00E1617B">
            <w:pPr>
              <w:pStyle w:val="TableStyle2"/>
              <w:jc w:val="center"/>
            </w:pPr>
            <w:r>
              <w:rPr>
                <w:rFonts w:ascii="Arial" w:hAnsi="Arial"/>
              </w:rPr>
              <w:t>5/1/2011</w:t>
            </w:r>
          </w:p>
        </w:tc>
      </w:tr>
      <w:tr w:rsidR="000E1F2E" w14:paraId="6F6442CD" w14:textId="77777777">
        <w:tblPrEx>
          <w:shd w:val="clear" w:color="auto" w:fill="auto"/>
        </w:tblPrEx>
        <w:trPr>
          <w:trHeight w:val="433"/>
          <w:jc w:val="center"/>
        </w:trPr>
        <w:tc>
          <w:tcPr>
            <w:tcW w:w="1719" w:type="dxa"/>
            <w:tcBorders>
              <w:top w:val="nil"/>
              <w:left w:val="nil"/>
              <w:bottom w:val="nil"/>
              <w:right w:val="nil"/>
            </w:tcBorders>
            <w:shd w:val="clear" w:color="auto" w:fill="auto"/>
            <w:tcMar>
              <w:top w:w="80" w:type="dxa"/>
              <w:left w:w="80" w:type="dxa"/>
              <w:bottom w:w="80" w:type="dxa"/>
              <w:right w:w="80" w:type="dxa"/>
            </w:tcMar>
          </w:tcPr>
          <w:p w14:paraId="1E3B090A" w14:textId="77777777" w:rsidR="000E1F2E" w:rsidRDefault="00E1617B">
            <w:pPr>
              <w:pStyle w:val="TableStyle1"/>
              <w:jc w:val="center"/>
            </w:pPr>
            <w:r>
              <w:rPr>
                <w:rFonts w:ascii="Arial" w:hAnsi="Arial"/>
              </w:rPr>
              <w:t>206</w:t>
            </w:r>
          </w:p>
        </w:tc>
        <w:tc>
          <w:tcPr>
            <w:tcW w:w="2617" w:type="dxa"/>
            <w:tcBorders>
              <w:top w:val="nil"/>
              <w:left w:val="nil"/>
              <w:bottom w:val="nil"/>
              <w:right w:val="nil"/>
            </w:tcBorders>
            <w:shd w:val="clear" w:color="auto" w:fill="auto"/>
            <w:tcMar>
              <w:top w:w="80" w:type="dxa"/>
              <w:left w:w="80" w:type="dxa"/>
              <w:bottom w:w="80" w:type="dxa"/>
              <w:right w:w="80" w:type="dxa"/>
            </w:tcMar>
          </w:tcPr>
          <w:p w14:paraId="59D68F43" w14:textId="77777777" w:rsidR="000E1F2E" w:rsidRDefault="00E1617B">
            <w:pPr>
              <w:pStyle w:val="TableStyle2"/>
              <w:jc w:val="center"/>
            </w:pPr>
            <w:r>
              <w:rPr>
                <w:rFonts w:ascii="Arial" w:hAnsi="Arial"/>
              </w:rPr>
              <w:t>Mentoring and leadership</w:t>
            </w:r>
          </w:p>
        </w:tc>
        <w:tc>
          <w:tcPr>
            <w:tcW w:w="1830" w:type="dxa"/>
            <w:tcBorders>
              <w:top w:val="nil"/>
              <w:left w:val="nil"/>
              <w:bottom w:val="nil"/>
              <w:right w:val="nil"/>
            </w:tcBorders>
            <w:shd w:val="clear" w:color="auto" w:fill="auto"/>
            <w:tcMar>
              <w:top w:w="80" w:type="dxa"/>
              <w:left w:w="80" w:type="dxa"/>
              <w:bottom w:w="80" w:type="dxa"/>
              <w:right w:w="80" w:type="dxa"/>
            </w:tcMar>
          </w:tcPr>
          <w:p w14:paraId="1742D3E3" w14:textId="77777777" w:rsidR="000E1F2E" w:rsidRDefault="00E1617B">
            <w:pPr>
              <w:pStyle w:val="TableStyle2"/>
              <w:jc w:val="center"/>
            </w:pPr>
            <w:r>
              <w:rPr>
                <w:rFonts w:ascii="Arial" w:hAnsi="Arial"/>
              </w:rPr>
              <w:t>Rule</w:t>
            </w:r>
          </w:p>
        </w:tc>
        <w:tc>
          <w:tcPr>
            <w:tcW w:w="3192" w:type="dxa"/>
            <w:tcBorders>
              <w:top w:val="nil"/>
              <w:left w:val="nil"/>
              <w:bottom w:val="nil"/>
              <w:right w:val="nil"/>
            </w:tcBorders>
            <w:shd w:val="clear" w:color="auto" w:fill="auto"/>
            <w:tcMar>
              <w:top w:w="80" w:type="dxa"/>
              <w:left w:w="80" w:type="dxa"/>
              <w:bottom w:w="80" w:type="dxa"/>
              <w:right w:w="80" w:type="dxa"/>
            </w:tcMar>
          </w:tcPr>
          <w:p w14:paraId="79C75712" w14:textId="77777777" w:rsidR="000E1F2E" w:rsidRDefault="00E1617B">
            <w:pPr>
              <w:pStyle w:val="TableStyle2"/>
              <w:jc w:val="center"/>
            </w:pPr>
            <w:r>
              <w:rPr>
                <w:rFonts w:ascii="Arial" w:hAnsi="Arial"/>
              </w:rPr>
              <w:t>8/01/2013</w:t>
            </w:r>
          </w:p>
        </w:tc>
      </w:tr>
      <w:tr w:rsidR="000E1F2E" w14:paraId="6954DF06" w14:textId="77777777">
        <w:tblPrEx>
          <w:shd w:val="clear" w:color="auto" w:fill="auto"/>
        </w:tblPrEx>
        <w:trPr>
          <w:trHeight w:val="433"/>
          <w:jc w:val="center"/>
        </w:trPr>
        <w:tc>
          <w:tcPr>
            <w:tcW w:w="1719" w:type="dxa"/>
            <w:tcBorders>
              <w:top w:val="nil"/>
              <w:left w:val="nil"/>
              <w:bottom w:val="nil"/>
              <w:right w:val="nil"/>
            </w:tcBorders>
            <w:shd w:val="clear" w:color="auto" w:fill="auto"/>
            <w:tcMar>
              <w:top w:w="80" w:type="dxa"/>
              <w:left w:w="80" w:type="dxa"/>
              <w:bottom w:w="80" w:type="dxa"/>
              <w:right w:w="80" w:type="dxa"/>
            </w:tcMar>
          </w:tcPr>
          <w:p w14:paraId="746396A6" w14:textId="77777777" w:rsidR="000E1F2E" w:rsidRDefault="00E1617B">
            <w:pPr>
              <w:pStyle w:val="TableStyle1"/>
              <w:jc w:val="center"/>
            </w:pPr>
            <w:r>
              <w:rPr>
                <w:rFonts w:ascii="Arial" w:hAnsi="Arial"/>
              </w:rPr>
              <w:t>207</w:t>
            </w:r>
          </w:p>
        </w:tc>
        <w:tc>
          <w:tcPr>
            <w:tcW w:w="2617" w:type="dxa"/>
            <w:tcBorders>
              <w:top w:val="nil"/>
              <w:left w:val="nil"/>
              <w:bottom w:val="nil"/>
              <w:right w:val="nil"/>
            </w:tcBorders>
            <w:shd w:val="clear" w:color="auto" w:fill="auto"/>
            <w:tcMar>
              <w:top w:w="80" w:type="dxa"/>
              <w:left w:w="80" w:type="dxa"/>
              <w:bottom w:w="80" w:type="dxa"/>
              <w:right w:w="80" w:type="dxa"/>
            </w:tcMar>
          </w:tcPr>
          <w:p w14:paraId="2B9758F7" w14:textId="77777777" w:rsidR="000E1F2E" w:rsidRDefault="00E1617B">
            <w:pPr>
              <w:pStyle w:val="TableStyle2"/>
              <w:jc w:val="center"/>
            </w:pPr>
            <w:r>
              <w:rPr>
                <w:rFonts w:ascii="Arial" w:hAnsi="Arial"/>
              </w:rPr>
              <w:t>Crew pairing and CRM Study</w:t>
            </w:r>
          </w:p>
        </w:tc>
        <w:tc>
          <w:tcPr>
            <w:tcW w:w="1830" w:type="dxa"/>
            <w:tcBorders>
              <w:top w:val="nil"/>
              <w:left w:val="nil"/>
              <w:bottom w:val="nil"/>
              <w:right w:val="nil"/>
            </w:tcBorders>
            <w:shd w:val="clear" w:color="auto" w:fill="auto"/>
            <w:tcMar>
              <w:top w:w="80" w:type="dxa"/>
              <w:left w:w="80" w:type="dxa"/>
              <w:bottom w:w="80" w:type="dxa"/>
              <w:right w:w="80" w:type="dxa"/>
            </w:tcMar>
          </w:tcPr>
          <w:p w14:paraId="683CBC8B" w14:textId="77777777" w:rsidR="000E1F2E" w:rsidRDefault="00E1617B">
            <w:pPr>
              <w:pStyle w:val="TableStyle2"/>
              <w:jc w:val="center"/>
            </w:pPr>
            <w:r>
              <w:rPr>
                <w:rFonts w:ascii="Arial" w:hAnsi="Arial"/>
              </w:rPr>
              <w:t>Report</w:t>
            </w:r>
          </w:p>
        </w:tc>
        <w:tc>
          <w:tcPr>
            <w:tcW w:w="3192" w:type="dxa"/>
            <w:tcBorders>
              <w:top w:val="nil"/>
              <w:left w:val="nil"/>
              <w:bottom w:val="nil"/>
              <w:right w:val="nil"/>
            </w:tcBorders>
            <w:shd w:val="clear" w:color="auto" w:fill="auto"/>
            <w:tcMar>
              <w:top w:w="80" w:type="dxa"/>
              <w:left w:w="80" w:type="dxa"/>
              <w:bottom w:w="80" w:type="dxa"/>
              <w:right w:w="80" w:type="dxa"/>
            </w:tcMar>
          </w:tcPr>
          <w:p w14:paraId="7D19FEE7" w14:textId="77777777" w:rsidR="000E1F2E" w:rsidRDefault="00E1617B">
            <w:pPr>
              <w:pStyle w:val="TableStyle2"/>
              <w:jc w:val="center"/>
            </w:pPr>
            <w:r>
              <w:rPr>
                <w:rFonts w:ascii="Arial" w:hAnsi="Arial"/>
              </w:rPr>
              <w:t>8/26/2011</w:t>
            </w:r>
          </w:p>
        </w:tc>
      </w:tr>
      <w:tr w:rsidR="000E1F2E" w14:paraId="4C8FCF37" w14:textId="77777777">
        <w:tblPrEx>
          <w:shd w:val="clear" w:color="auto" w:fill="auto"/>
        </w:tblPrEx>
        <w:trPr>
          <w:trHeight w:val="280"/>
          <w:jc w:val="center"/>
        </w:trPr>
        <w:tc>
          <w:tcPr>
            <w:tcW w:w="1719" w:type="dxa"/>
            <w:tcBorders>
              <w:top w:val="nil"/>
              <w:left w:val="nil"/>
              <w:bottom w:val="nil"/>
              <w:right w:val="nil"/>
            </w:tcBorders>
            <w:shd w:val="clear" w:color="auto" w:fill="auto"/>
            <w:tcMar>
              <w:top w:w="80" w:type="dxa"/>
              <w:left w:w="80" w:type="dxa"/>
              <w:bottom w:w="80" w:type="dxa"/>
              <w:right w:w="80" w:type="dxa"/>
            </w:tcMar>
          </w:tcPr>
          <w:p w14:paraId="77FCD3CD" w14:textId="77777777" w:rsidR="000E1F2E" w:rsidRDefault="00E1617B">
            <w:pPr>
              <w:pStyle w:val="TableStyle1"/>
              <w:jc w:val="center"/>
            </w:pPr>
            <w:r>
              <w:rPr>
                <w:rFonts w:ascii="Arial" w:hAnsi="Arial"/>
              </w:rPr>
              <w:t>208</w:t>
            </w:r>
          </w:p>
        </w:tc>
        <w:tc>
          <w:tcPr>
            <w:tcW w:w="2617" w:type="dxa"/>
            <w:tcBorders>
              <w:top w:val="nil"/>
              <w:left w:val="nil"/>
              <w:bottom w:val="nil"/>
              <w:right w:val="nil"/>
            </w:tcBorders>
            <w:shd w:val="clear" w:color="auto" w:fill="auto"/>
            <w:tcMar>
              <w:top w:w="80" w:type="dxa"/>
              <w:left w:w="80" w:type="dxa"/>
              <w:bottom w:w="80" w:type="dxa"/>
              <w:right w:w="80" w:type="dxa"/>
            </w:tcMar>
          </w:tcPr>
          <w:p w14:paraId="39564B85" w14:textId="77777777" w:rsidR="000E1F2E" w:rsidRDefault="00E1617B">
            <w:pPr>
              <w:pStyle w:val="TableStyle2"/>
              <w:jc w:val="center"/>
            </w:pPr>
            <w:r>
              <w:rPr>
                <w:rFonts w:ascii="Arial" w:hAnsi="Arial"/>
              </w:rPr>
              <w:t>Stall and other training</w:t>
            </w:r>
          </w:p>
        </w:tc>
        <w:tc>
          <w:tcPr>
            <w:tcW w:w="1830" w:type="dxa"/>
            <w:tcBorders>
              <w:top w:val="nil"/>
              <w:left w:val="nil"/>
              <w:bottom w:val="nil"/>
              <w:right w:val="nil"/>
            </w:tcBorders>
            <w:shd w:val="clear" w:color="auto" w:fill="auto"/>
            <w:tcMar>
              <w:top w:w="80" w:type="dxa"/>
              <w:left w:w="80" w:type="dxa"/>
              <w:bottom w:w="80" w:type="dxa"/>
              <w:right w:w="80" w:type="dxa"/>
            </w:tcMar>
          </w:tcPr>
          <w:p w14:paraId="3E9C0475" w14:textId="77777777" w:rsidR="000E1F2E" w:rsidRDefault="00E1617B">
            <w:pPr>
              <w:pStyle w:val="TableStyle2"/>
              <w:jc w:val="center"/>
            </w:pPr>
            <w:r>
              <w:rPr>
                <w:rFonts w:ascii="Arial" w:hAnsi="Arial"/>
              </w:rPr>
              <w:t>Rule</w:t>
            </w:r>
          </w:p>
        </w:tc>
        <w:tc>
          <w:tcPr>
            <w:tcW w:w="3192" w:type="dxa"/>
            <w:tcBorders>
              <w:top w:val="nil"/>
              <w:left w:val="nil"/>
              <w:bottom w:val="nil"/>
              <w:right w:val="nil"/>
            </w:tcBorders>
            <w:shd w:val="clear" w:color="auto" w:fill="auto"/>
            <w:tcMar>
              <w:top w:w="80" w:type="dxa"/>
              <w:left w:w="80" w:type="dxa"/>
              <w:bottom w:w="80" w:type="dxa"/>
              <w:right w:w="80" w:type="dxa"/>
            </w:tcMar>
          </w:tcPr>
          <w:p w14:paraId="0263DFDD" w14:textId="77777777" w:rsidR="000E1F2E" w:rsidRDefault="00E1617B">
            <w:pPr>
              <w:pStyle w:val="TableStyle2"/>
              <w:jc w:val="center"/>
            </w:pPr>
            <w:r>
              <w:rPr>
                <w:rFonts w:ascii="Arial" w:hAnsi="Arial"/>
              </w:rPr>
              <w:t>11/12/2013</w:t>
            </w:r>
          </w:p>
        </w:tc>
      </w:tr>
      <w:tr w:rsidR="000E1F2E" w14:paraId="0541F8B5" w14:textId="77777777">
        <w:tblPrEx>
          <w:shd w:val="clear" w:color="auto" w:fill="auto"/>
        </w:tblPrEx>
        <w:trPr>
          <w:trHeight w:val="280"/>
          <w:jc w:val="center"/>
        </w:trPr>
        <w:tc>
          <w:tcPr>
            <w:tcW w:w="1719" w:type="dxa"/>
            <w:tcBorders>
              <w:top w:val="nil"/>
              <w:left w:val="nil"/>
              <w:bottom w:val="nil"/>
              <w:right w:val="nil"/>
            </w:tcBorders>
            <w:shd w:val="clear" w:color="auto" w:fill="auto"/>
            <w:tcMar>
              <w:top w:w="80" w:type="dxa"/>
              <w:left w:w="80" w:type="dxa"/>
              <w:bottom w:w="80" w:type="dxa"/>
              <w:right w:w="80" w:type="dxa"/>
            </w:tcMar>
          </w:tcPr>
          <w:p w14:paraId="440D5816" w14:textId="77777777" w:rsidR="000E1F2E" w:rsidRDefault="00E1617B">
            <w:pPr>
              <w:pStyle w:val="TableStyle1"/>
              <w:jc w:val="center"/>
            </w:pPr>
            <w:r>
              <w:rPr>
                <w:rFonts w:ascii="Arial" w:hAnsi="Arial"/>
              </w:rPr>
              <w:t>209</w:t>
            </w:r>
          </w:p>
        </w:tc>
        <w:tc>
          <w:tcPr>
            <w:tcW w:w="2617" w:type="dxa"/>
            <w:tcBorders>
              <w:top w:val="nil"/>
              <w:left w:val="nil"/>
              <w:bottom w:val="nil"/>
              <w:right w:val="nil"/>
            </w:tcBorders>
            <w:shd w:val="clear" w:color="auto" w:fill="auto"/>
            <w:tcMar>
              <w:top w:w="80" w:type="dxa"/>
              <w:left w:w="80" w:type="dxa"/>
              <w:bottom w:w="80" w:type="dxa"/>
              <w:right w:w="80" w:type="dxa"/>
            </w:tcMar>
          </w:tcPr>
          <w:p w14:paraId="4EF90C13" w14:textId="77777777" w:rsidR="000E1F2E" w:rsidRDefault="00E1617B">
            <w:pPr>
              <w:pStyle w:val="TableStyle2"/>
              <w:jc w:val="center"/>
            </w:pPr>
            <w:r>
              <w:rPr>
                <w:rFonts w:ascii="Arial" w:hAnsi="Arial"/>
              </w:rPr>
              <w:t>Air Carrier Training</w:t>
            </w:r>
          </w:p>
        </w:tc>
        <w:tc>
          <w:tcPr>
            <w:tcW w:w="1830" w:type="dxa"/>
            <w:tcBorders>
              <w:top w:val="nil"/>
              <w:left w:val="nil"/>
              <w:bottom w:val="nil"/>
              <w:right w:val="nil"/>
            </w:tcBorders>
            <w:shd w:val="clear" w:color="auto" w:fill="auto"/>
            <w:tcMar>
              <w:top w:w="80" w:type="dxa"/>
              <w:left w:w="80" w:type="dxa"/>
              <w:bottom w:w="80" w:type="dxa"/>
              <w:right w:w="80" w:type="dxa"/>
            </w:tcMar>
          </w:tcPr>
          <w:p w14:paraId="435104B3" w14:textId="77777777" w:rsidR="000E1F2E" w:rsidRDefault="00E1617B">
            <w:pPr>
              <w:pStyle w:val="TableStyle2"/>
              <w:jc w:val="center"/>
            </w:pPr>
            <w:r>
              <w:rPr>
                <w:rFonts w:ascii="Arial" w:hAnsi="Arial"/>
              </w:rPr>
              <w:t>Rule</w:t>
            </w:r>
          </w:p>
        </w:tc>
        <w:tc>
          <w:tcPr>
            <w:tcW w:w="3192" w:type="dxa"/>
            <w:tcBorders>
              <w:top w:val="nil"/>
              <w:left w:val="nil"/>
              <w:bottom w:val="nil"/>
              <w:right w:val="nil"/>
            </w:tcBorders>
            <w:shd w:val="clear" w:color="auto" w:fill="auto"/>
            <w:tcMar>
              <w:top w:w="80" w:type="dxa"/>
              <w:left w:w="80" w:type="dxa"/>
              <w:bottom w:w="80" w:type="dxa"/>
              <w:right w:w="80" w:type="dxa"/>
            </w:tcMar>
          </w:tcPr>
          <w:p w14:paraId="162E3207" w14:textId="77777777" w:rsidR="000E1F2E" w:rsidRDefault="00E1617B">
            <w:pPr>
              <w:pStyle w:val="TableStyle2"/>
              <w:jc w:val="center"/>
            </w:pPr>
            <w:r>
              <w:rPr>
                <w:rFonts w:ascii="Arial" w:hAnsi="Arial"/>
              </w:rPr>
              <w:t>11/12/203</w:t>
            </w:r>
          </w:p>
        </w:tc>
      </w:tr>
      <w:tr w:rsidR="000E1F2E" w14:paraId="65EE814B" w14:textId="77777777">
        <w:tblPrEx>
          <w:shd w:val="clear" w:color="auto" w:fill="auto"/>
        </w:tblPrEx>
        <w:trPr>
          <w:trHeight w:val="280"/>
          <w:jc w:val="center"/>
        </w:trPr>
        <w:tc>
          <w:tcPr>
            <w:tcW w:w="1719" w:type="dxa"/>
            <w:tcBorders>
              <w:top w:val="nil"/>
              <w:left w:val="nil"/>
              <w:bottom w:val="nil"/>
              <w:right w:val="nil"/>
            </w:tcBorders>
            <w:shd w:val="clear" w:color="auto" w:fill="auto"/>
            <w:tcMar>
              <w:top w:w="80" w:type="dxa"/>
              <w:left w:w="80" w:type="dxa"/>
              <w:bottom w:w="80" w:type="dxa"/>
              <w:right w:w="80" w:type="dxa"/>
            </w:tcMar>
          </w:tcPr>
          <w:p w14:paraId="4EEEFA24" w14:textId="77777777" w:rsidR="000E1F2E" w:rsidRDefault="00E1617B">
            <w:pPr>
              <w:pStyle w:val="TableStyle1"/>
              <w:jc w:val="center"/>
            </w:pPr>
            <w:r>
              <w:rPr>
                <w:rFonts w:ascii="Arial" w:hAnsi="Arial"/>
              </w:rPr>
              <w:t>210</w:t>
            </w:r>
          </w:p>
        </w:tc>
        <w:tc>
          <w:tcPr>
            <w:tcW w:w="2617" w:type="dxa"/>
            <w:tcBorders>
              <w:top w:val="nil"/>
              <w:left w:val="nil"/>
              <w:bottom w:val="nil"/>
              <w:right w:val="nil"/>
            </w:tcBorders>
            <w:shd w:val="clear" w:color="auto" w:fill="auto"/>
            <w:tcMar>
              <w:top w:w="80" w:type="dxa"/>
              <w:left w:w="80" w:type="dxa"/>
              <w:bottom w:w="80" w:type="dxa"/>
              <w:right w:w="80" w:type="dxa"/>
            </w:tcMar>
          </w:tcPr>
          <w:p w14:paraId="40FF0E5F" w14:textId="77777777" w:rsidR="000E1F2E" w:rsidRDefault="00E1617B">
            <w:pPr>
              <w:pStyle w:val="TableStyle2"/>
              <w:jc w:val="center"/>
            </w:pPr>
            <w:r>
              <w:rPr>
                <w:rFonts w:ascii="Arial" w:hAnsi="Arial"/>
              </w:rPr>
              <w:t>Ticket disclosure</w:t>
            </w:r>
          </w:p>
        </w:tc>
        <w:tc>
          <w:tcPr>
            <w:tcW w:w="1830" w:type="dxa"/>
            <w:tcBorders>
              <w:top w:val="nil"/>
              <w:left w:val="nil"/>
              <w:bottom w:val="nil"/>
              <w:right w:val="nil"/>
            </w:tcBorders>
            <w:shd w:val="clear" w:color="auto" w:fill="auto"/>
            <w:tcMar>
              <w:top w:w="80" w:type="dxa"/>
              <w:left w:w="80" w:type="dxa"/>
              <w:bottom w:w="80" w:type="dxa"/>
              <w:right w:w="80" w:type="dxa"/>
            </w:tcMar>
          </w:tcPr>
          <w:p w14:paraId="13D71D71" w14:textId="77777777" w:rsidR="000E1F2E" w:rsidRDefault="00E1617B">
            <w:pPr>
              <w:pStyle w:val="TableStyle2"/>
              <w:jc w:val="center"/>
            </w:pPr>
            <w:r>
              <w:rPr>
                <w:rFonts w:ascii="Arial" w:hAnsi="Arial"/>
              </w:rPr>
              <w:t>Amend USC</w:t>
            </w:r>
          </w:p>
        </w:tc>
        <w:tc>
          <w:tcPr>
            <w:tcW w:w="3192" w:type="dxa"/>
            <w:tcBorders>
              <w:top w:val="nil"/>
              <w:left w:val="nil"/>
              <w:bottom w:val="nil"/>
              <w:right w:val="nil"/>
            </w:tcBorders>
            <w:shd w:val="clear" w:color="auto" w:fill="auto"/>
            <w:tcMar>
              <w:top w:w="80" w:type="dxa"/>
              <w:left w:w="80" w:type="dxa"/>
              <w:bottom w:w="80" w:type="dxa"/>
              <w:right w:w="80" w:type="dxa"/>
            </w:tcMar>
          </w:tcPr>
          <w:p w14:paraId="3E91441A" w14:textId="77777777" w:rsidR="000E1F2E" w:rsidRDefault="00E1617B">
            <w:pPr>
              <w:pStyle w:val="TableStyle2"/>
              <w:jc w:val="center"/>
            </w:pPr>
            <w:r>
              <w:rPr>
                <w:rFonts w:ascii="Arial" w:hAnsi="Arial"/>
              </w:rPr>
              <w:t>8/01/2010</w:t>
            </w:r>
          </w:p>
        </w:tc>
      </w:tr>
      <w:tr w:rsidR="000E1F2E" w14:paraId="1F172B3E" w14:textId="77777777">
        <w:tblPrEx>
          <w:shd w:val="clear" w:color="auto" w:fill="auto"/>
        </w:tblPrEx>
        <w:trPr>
          <w:trHeight w:val="433"/>
          <w:jc w:val="center"/>
        </w:trPr>
        <w:tc>
          <w:tcPr>
            <w:tcW w:w="1719" w:type="dxa"/>
            <w:tcBorders>
              <w:top w:val="nil"/>
              <w:left w:val="nil"/>
              <w:bottom w:val="nil"/>
              <w:right w:val="nil"/>
            </w:tcBorders>
            <w:shd w:val="clear" w:color="auto" w:fill="auto"/>
            <w:tcMar>
              <w:top w:w="80" w:type="dxa"/>
              <w:left w:w="80" w:type="dxa"/>
              <w:bottom w:w="80" w:type="dxa"/>
              <w:right w:w="80" w:type="dxa"/>
            </w:tcMar>
          </w:tcPr>
          <w:p w14:paraId="09E31103" w14:textId="77777777" w:rsidR="000E1F2E" w:rsidRDefault="00E1617B">
            <w:pPr>
              <w:pStyle w:val="TableStyle1"/>
              <w:jc w:val="center"/>
            </w:pPr>
            <w:r>
              <w:rPr>
                <w:rFonts w:ascii="Arial" w:hAnsi="Arial"/>
              </w:rPr>
              <w:t>211</w:t>
            </w:r>
          </w:p>
        </w:tc>
        <w:tc>
          <w:tcPr>
            <w:tcW w:w="2617" w:type="dxa"/>
            <w:tcBorders>
              <w:top w:val="nil"/>
              <w:left w:val="nil"/>
              <w:bottom w:val="nil"/>
              <w:right w:val="nil"/>
            </w:tcBorders>
            <w:shd w:val="clear" w:color="auto" w:fill="auto"/>
            <w:tcMar>
              <w:top w:w="80" w:type="dxa"/>
              <w:left w:w="80" w:type="dxa"/>
              <w:bottom w:w="80" w:type="dxa"/>
              <w:right w:w="80" w:type="dxa"/>
            </w:tcMar>
          </w:tcPr>
          <w:p w14:paraId="67104FBE" w14:textId="77777777" w:rsidR="000E1F2E" w:rsidRDefault="00E1617B">
            <w:pPr>
              <w:pStyle w:val="TableStyle2"/>
              <w:jc w:val="center"/>
            </w:pPr>
            <w:r>
              <w:rPr>
                <w:rFonts w:ascii="Arial" w:hAnsi="Arial"/>
              </w:rPr>
              <w:t>Inspections of regional airlines</w:t>
            </w:r>
          </w:p>
        </w:tc>
        <w:tc>
          <w:tcPr>
            <w:tcW w:w="1830" w:type="dxa"/>
            <w:tcBorders>
              <w:top w:val="nil"/>
              <w:left w:val="nil"/>
              <w:bottom w:val="nil"/>
              <w:right w:val="nil"/>
            </w:tcBorders>
            <w:shd w:val="clear" w:color="auto" w:fill="auto"/>
            <w:tcMar>
              <w:top w:w="80" w:type="dxa"/>
              <w:left w:w="80" w:type="dxa"/>
              <w:bottom w:w="80" w:type="dxa"/>
              <w:right w:w="80" w:type="dxa"/>
            </w:tcMar>
          </w:tcPr>
          <w:p w14:paraId="77D019F1" w14:textId="77777777" w:rsidR="000E1F2E" w:rsidRDefault="00E1617B">
            <w:pPr>
              <w:pStyle w:val="TableStyle2"/>
              <w:jc w:val="center"/>
            </w:pPr>
            <w:r>
              <w:rPr>
                <w:rFonts w:ascii="Arial" w:hAnsi="Arial"/>
              </w:rPr>
              <w:t>FAA action</w:t>
            </w:r>
          </w:p>
        </w:tc>
        <w:tc>
          <w:tcPr>
            <w:tcW w:w="3192" w:type="dxa"/>
            <w:tcBorders>
              <w:top w:val="nil"/>
              <w:left w:val="nil"/>
              <w:bottom w:val="nil"/>
              <w:right w:val="nil"/>
            </w:tcBorders>
            <w:shd w:val="clear" w:color="auto" w:fill="auto"/>
            <w:tcMar>
              <w:top w:w="80" w:type="dxa"/>
              <w:left w:w="80" w:type="dxa"/>
              <w:bottom w:w="80" w:type="dxa"/>
              <w:right w:w="80" w:type="dxa"/>
            </w:tcMar>
          </w:tcPr>
          <w:p w14:paraId="05801E4D" w14:textId="77777777" w:rsidR="000E1F2E" w:rsidRDefault="00E1617B">
            <w:pPr>
              <w:pStyle w:val="TableStyle2"/>
              <w:jc w:val="center"/>
            </w:pPr>
            <w:r>
              <w:rPr>
                <w:rFonts w:ascii="Arial" w:hAnsi="Arial"/>
              </w:rPr>
              <w:t>annual</w:t>
            </w:r>
          </w:p>
        </w:tc>
      </w:tr>
      <w:tr w:rsidR="000E1F2E" w14:paraId="588568D0" w14:textId="77777777">
        <w:tblPrEx>
          <w:shd w:val="clear" w:color="auto" w:fill="auto"/>
        </w:tblPrEx>
        <w:trPr>
          <w:trHeight w:val="280"/>
          <w:jc w:val="center"/>
        </w:trPr>
        <w:tc>
          <w:tcPr>
            <w:tcW w:w="1719" w:type="dxa"/>
            <w:tcBorders>
              <w:top w:val="nil"/>
              <w:left w:val="nil"/>
              <w:bottom w:val="nil"/>
              <w:right w:val="nil"/>
            </w:tcBorders>
            <w:shd w:val="clear" w:color="auto" w:fill="auto"/>
            <w:tcMar>
              <w:top w:w="80" w:type="dxa"/>
              <w:left w:w="80" w:type="dxa"/>
              <w:bottom w:w="80" w:type="dxa"/>
              <w:right w:w="80" w:type="dxa"/>
            </w:tcMar>
          </w:tcPr>
          <w:p w14:paraId="56E2B700" w14:textId="77777777" w:rsidR="000E1F2E" w:rsidRDefault="00E1617B">
            <w:pPr>
              <w:pStyle w:val="TableStyle1"/>
              <w:jc w:val="center"/>
            </w:pPr>
            <w:r>
              <w:rPr>
                <w:rFonts w:ascii="Arial" w:hAnsi="Arial"/>
              </w:rPr>
              <w:t>212</w:t>
            </w:r>
          </w:p>
        </w:tc>
        <w:tc>
          <w:tcPr>
            <w:tcW w:w="2617" w:type="dxa"/>
            <w:tcBorders>
              <w:top w:val="nil"/>
              <w:left w:val="nil"/>
              <w:bottom w:val="nil"/>
              <w:right w:val="nil"/>
            </w:tcBorders>
            <w:shd w:val="clear" w:color="auto" w:fill="auto"/>
            <w:tcMar>
              <w:top w:w="80" w:type="dxa"/>
              <w:left w:w="80" w:type="dxa"/>
              <w:bottom w:w="80" w:type="dxa"/>
              <w:right w:w="80" w:type="dxa"/>
            </w:tcMar>
          </w:tcPr>
          <w:p w14:paraId="52934DCC" w14:textId="77777777" w:rsidR="000E1F2E" w:rsidRDefault="00E1617B">
            <w:pPr>
              <w:pStyle w:val="TableStyle2"/>
              <w:jc w:val="center"/>
            </w:pPr>
            <w:r>
              <w:rPr>
                <w:rFonts w:ascii="Arial" w:hAnsi="Arial"/>
              </w:rPr>
              <w:t>Pilot fatigue</w:t>
            </w:r>
          </w:p>
        </w:tc>
        <w:tc>
          <w:tcPr>
            <w:tcW w:w="1830" w:type="dxa"/>
            <w:tcBorders>
              <w:top w:val="nil"/>
              <w:left w:val="nil"/>
              <w:bottom w:val="nil"/>
              <w:right w:val="nil"/>
            </w:tcBorders>
            <w:shd w:val="clear" w:color="auto" w:fill="auto"/>
            <w:tcMar>
              <w:top w:w="80" w:type="dxa"/>
              <w:left w:w="80" w:type="dxa"/>
              <w:bottom w:w="80" w:type="dxa"/>
              <w:right w:w="80" w:type="dxa"/>
            </w:tcMar>
          </w:tcPr>
          <w:p w14:paraId="781C59EE" w14:textId="77777777" w:rsidR="000E1F2E" w:rsidRDefault="00E1617B">
            <w:pPr>
              <w:pStyle w:val="TableStyle2"/>
              <w:jc w:val="center"/>
            </w:pPr>
            <w:r>
              <w:rPr>
                <w:rFonts w:ascii="Arial" w:hAnsi="Arial"/>
              </w:rPr>
              <w:t>Rule</w:t>
            </w:r>
          </w:p>
        </w:tc>
        <w:tc>
          <w:tcPr>
            <w:tcW w:w="3192" w:type="dxa"/>
            <w:tcBorders>
              <w:top w:val="nil"/>
              <w:left w:val="nil"/>
              <w:bottom w:val="nil"/>
              <w:right w:val="nil"/>
            </w:tcBorders>
            <w:shd w:val="clear" w:color="auto" w:fill="auto"/>
            <w:tcMar>
              <w:top w:w="80" w:type="dxa"/>
              <w:left w:w="80" w:type="dxa"/>
              <w:bottom w:w="80" w:type="dxa"/>
              <w:right w:w="80" w:type="dxa"/>
            </w:tcMar>
          </w:tcPr>
          <w:p w14:paraId="72B302F5" w14:textId="77777777" w:rsidR="000E1F2E" w:rsidRDefault="00E1617B">
            <w:pPr>
              <w:pStyle w:val="TableStyle2"/>
              <w:jc w:val="center"/>
            </w:pPr>
            <w:r>
              <w:rPr>
                <w:rFonts w:ascii="Arial" w:hAnsi="Arial"/>
              </w:rPr>
              <w:t>12/21/2011</w:t>
            </w:r>
          </w:p>
        </w:tc>
      </w:tr>
      <w:tr w:rsidR="000E1F2E" w14:paraId="10F240EC" w14:textId="77777777">
        <w:tblPrEx>
          <w:shd w:val="clear" w:color="auto" w:fill="auto"/>
        </w:tblPrEx>
        <w:trPr>
          <w:trHeight w:val="433"/>
          <w:jc w:val="center"/>
        </w:trPr>
        <w:tc>
          <w:tcPr>
            <w:tcW w:w="1719" w:type="dxa"/>
            <w:tcBorders>
              <w:top w:val="nil"/>
              <w:left w:val="nil"/>
              <w:bottom w:val="nil"/>
              <w:right w:val="nil"/>
            </w:tcBorders>
            <w:shd w:val="clear" w:color="auto" w:fill="auto"/>
            <w:tcMar>
              <w:top w:w="80" w:type="dxa"/>
              <w:left w:w="80" w:type="dxa"/>
              <w:bottom w:w="80" w:type="dxa"/>
              <w:right w:w="80" w:type="dxa"/>
            </w:tcMar>
          </w:tcPr>
          <w:p w14:paraId="1112DE7D" w14:textId="77777777" w:rsidR="000E1F2E" w:rsidRDefault="00E1617B">
            <w:pPr>
              <w:pStyle w:val="TableStyle1"/>
              <w:jc w:val="center"/>
            </w:pPr>
            <w:r>
              <w:rPr>
                <w:rFonts w:ascii="Arial" w:hAnsi="Arial"/>
              </w:rPr>
              <w:t>213</w:t>
            </w:r>
          </w:p>
        </w:tc>
        <w:tc>
          <w:tcPr>
            <w:tcW w:w="2617" w:type="dxa"/>
            <w:tcBorders>
              <w:top w:val="nil"/>
              <w:left w:val="nil"/>
              <w:bottom w:val="nil"/>
              <w:right w:val="nil"/>
            </w:tcBorders>
            <w:shd w:val="clear" w:color="auto" w:fill="auto"/>
            <w:tcMar>
              <w:top w:w="80" w:type="dxa"/>
              <w:left w:w="80" w:type="dxa"/>
              <w:bottom w:w="80" w:type="dxa"/>
              <w:right w:w="80" w:type="dxa"/>
            </w:tcMar>
          </w:tcPr>
          <w:p w14:paraId="1BEE1C9B" w14:textId="77777777" w:rsidR="000E1F2E" w:rsidRDefault="00E1617B">
            <w:pPr>
              <w:pStyle w:val="TableStyle2"/>
              <w:jc w:val="center"/>
            </w:pPr>
            <w:r>
              <w:rPr>
                <w:rFonts w:ascii="Arial" w:hAnsi="Arial"/>
              </w:rPr>
              <w:t>Voluntary safety programs</w:t>
            </w:r>
          </w:p>
        </w:tc>
        <w:tc>
          <w:tcPr>
            <w:tcW w:w="1830" w:type="dxa"/>
            <w:tcBorders>
              <w:top w:val="nil"/>
              <w:left w:val="nil"/>
              <w:bottom w:val="nil"/>
              <w:right w:val="nil"/>
            </w:tcBorders>
            <w:shd w:val="clear" w:color="auto" w:fill="auto"/>
            <w:tcMar>
              <w:top w:w="80" w:type="dxa"/>
              <w:left w:w="80" w:type="dxa"/>
              <w:bottom w:w="80" w:type="dxa"/>
              <w:right w:w="80" w:type="dxa"/>
            </w:tcMar>
          </w:tcPr>
          <w:p w14:paraId="18CC2CD2" w14:textId="77777777" w:rsidR="000E1F2E" w:rsidRDefault="00E1617B">
            <w:pPr>
              <w:pStyle w:val="TableStyle2"/>
              <w:jc w:val="center"/>
            </w:pPr>
            <w:r>
              <w:rPr>
                <w:rFonts w:ascii="Arial" w:hAnsi="Arial"/>
              </w:rPr>
              <w:t>Report</w:t>
            </w:r>
          </w:p>
        </w:tc>
        <w:tc>
          <w:tcPr>
            <w:tcW w:w="3192" w:type="dxa"/>
            <w:tcBorders>
              <w:top w:val="nil"/>
              <w:left w:val="nil"/>
              <w:bottom w:val="nil"/>
              <w:right w:val="nil"/>
            </w:tcBorders>
            <w:shd w:val="clear" w:color="auto" w:fill="auto"/>
            <w:tcMar>
              <w:top w:w="80" w:type="dxa"/>
              <w:left w:w="80" w:type="dxa"/>
              <w:bottom w:w="80" w:type="dxa"/>
              <w:right w:w="80" w:type="dxa"/>
            </w:tcMar>
          </w:tcPr>
          <w:p w14:paraId="6BE024D7" w14:textId="77777777" w:rsidR="000E1F2E" w:rsidRDefault="00E1617B">
            <w:pPr>
              <w:pStyle w:val="TableStyle2"/>
              <w:jc w:val="center"/>
            </w:pPr>
            <w:r>
              <w:rPr>
                <w:rFonts w:ascii="Arial" w:hAnsi="Arial"/>
              </w:rPr>
              <w:t>3/16/2011</w:t>
            </w:r>
          </w:p>
        </w:tc>
      </w:tr>
      <w:tr w:rsidR="000E1F2E" w14:paraId="7451BBBA" w14:textId="77777777">
        <w:tblPrEx>
          <w:shd w:val="clear" w:color="auto" w:fill="auto"/>
        </w:tblPrEx>
        <w:trPr>
          <w:trHeight w:val="280"/>
          <w:jc w:val="center"/>
        </w:trPr>
        <w:tc>
          <w:tcPr>
            <w:tcW w:w="1719" w:type="dxa"/>
            <w:tcBorders>
              <w:top w:val="nil"/>
              <w:left w:val="nil"/>
              <w:bottom w:val="nil"/>
              <w:right w:val="nil"/>
            </w:tcBorders>
            <w:shd w:val="clear" w:color="auto" w:fill="auto"/>
            <w:tcMar>
              <w:top w:w="80" w:type="dxa"/>
              <w:left w:w="80" w:type="dxa"/>
              <w:bottom w:w="80" w:type="dxa"/>
              <w:right w:w="80" w:type="dxa"/>
            </w:tcMar>
          </w:tcPr>
          <w:p w14:paraId="38B1581B" w14:textId="77777777" w:rsidR="000E1F2E" w:rsidRDefault="00E1617B">
            <w:pPr>
              <w:pStyle w:val="TableStyle1"/>
              <w:jc w:val="center"/>
            </w:pPr>
            <w:r>
              <w:rPr>
                <w:rFonts w:ascii="Arial" w:hAnsi="Arial"/>
              </w:rPr>
              <w:t>214</w:t>
            </w:r>
          </w:p>
        </w:tc>
        <w:tc>
          <w:tcPr>
            <w:tcW w:w="2617" w:type="dxa"/>
            <w:tcBorders>
              <w:top w:val="nil"/>
              <w:left w:val="nil"/>
              <w:bottom w:val="nil"/>
              <w:right w:val="nil"/>
            </w:tcBorders>
            <w:shd w:val="clear" w:color="auto" w:fill="auto"/>
            <w:tcMar>
              <w:top w:w="80" w:type="dxa"/>
              <w:left w:w="80" w:type="dxa"/>
              <w:bottom w:w="80" w:type="dxa"/>
              <w:right w:w="80" w:type="dxa"/>
            </w:tcMar>
          </w:tcPr>
          <w:p w14:paraId="068DCA65" w14:textId="77777777" w:rsidR="000E1F2E" w:rsidRDefault="00E1617B">
            <w:pPr>
              <w:pStyle w:val="TableStyle2"/>
              <w:jc w:val="center"/>
            </w:pPr>
            <w:r>
              <w:rPr>
                <w:rFonts w:ascii="Arial" w:hAnsi="Arial"/>
              </w:rPr>
              <w:t>ASAP and FOQA</w:t>
            </w:r>
          </w:p>
        </w:tc>
        <w:tc>
          <w:tcPr>
            <w:tcW w:w="1830" w:type="dxa"/>
            <w:tcBorders>
              <w:top w:val="nil"/>
              <w:left w:val="nil"/>
              <w:bottom w:val="nil"/>
              <w:right w:val="nil"/>
            </w:tcBorders>
            <w:shd w:val="clear" w:color="auto" w:fill="auto"/>
            <w:tcMar>
              <w:top w:w="80" w:type="dxa"/>
              <w:left w:w="80" w:type="dxa"/>
              <w:bottom w:w="80" w:type="dxa"/>
              <w:right w:w="80" w:type="dxa"/>
            </w:tcMar>
          </w:tcPr>
          <w:p w14:paraId="089A3C38" w14:textId="77777777" w:rsidR="000E1F2E" w:rsidRDefault="00E1617B">
            <w:pPr>
              <w:pStyle w:val="TableStyle2"/>
              <w:jc w:val="center"/>
            </w:pPr>
            <w:r>
              <w:rPr>
                <w:rFonts w:ascii="Arial" w:hAnsi="Arial"/>
              </w:rPr>
              <w:t>Report</w:t>
            </w:r>
          </w:p>
        </w:tc>
        <w:tc>
          <w:tcPr>
            <w:tcW w:w="3192" w:type="dxa"/>
            <w:tcBorders>
              <w:top w:val="nil"/>
              <w:left w:val="nil"/>
              <w:bottom w:val="nil"/>
              <w:right w:val="nil"/>
            </w:tcBorders>
            <w:shd w:val="clear" w:color="auto" w:fill="auto"/>
            <w:tcMar>
              <w:top w:w="80" w:type="dxa"/>
              <w:left w:w="80" w:type="dxa"/>
              <w:bottom w:w="80" w:type="dxa"/>
              <w:right w:w="80" w:type="dxa"/>
            </w:tcMar>
          </w:tcPr>
          <w:p w14:paraId="2004D450" w14:textId="77777777" w:rsidR="000E1F2E" w:rsidRDefault="00E1617B">
            <w:pPr>
              <w:pStyle w:val="TableStyle2"/>
              <w:jc w:val="center"/>
            </w:pPr>
            <w:r>
              <w:rPr>
                <w:rFonts w:ascii="Arial" w:hAnsi="Arial"/>
              </w:rPr>
              <w:t>4/14/2011</w:t>
            </w:r>
          </w:p>
        </w:tc>
      </w:tr>
      <w:tr w:rsidR="000E1F2E" w14:paraId="6899923A" w14:textId="77777777">
        <w:tblPrEx>
          <w:shd w:val="clear" w:color="auto" w:fill="auto"/>
        </w:tblPrEx>
        <w:trPr>
          <w:trHeight w:val="280"/>
          <w:jc w:val="center"/>
        </w:trPr>
        <w:tc>
          <w:tcPr>
            <w:tcW w:w="1719" w:type="dxa"/>
            <w:tcBorders>
              <w:top w:val="nil"/>
              <w:left w:val="nil"/>
              <w:bottom w:val="nil"/>
              <w:right w:val="nil"/>
            </w:tcBorders>
            <w:shd w:val="clear" w:color="auto" w:fill="auto"/>
            <w:tcMar>
              <w:top w:w="80" w:type="dxa"/>
              <w:left w:w="80" w:type="dxa"/>
              <w:bottom w:w="80" w:type="dxa"/>
              <w:right w:w="80" w:type="dxa"/>
            </w:tcMar>
          </w:tcPr>
          <w:p w14:paraId="7E9BD763" w14:textId="77777777" w:rsidR="000E1F2E" w:rsidRDefault="00E1617B">
            <w:pPr>
              <w:pStyle w:val="TableStyle1"/>
              <w:jc w:val="center"/>
            </w:pPr>
            <w:r>
              <w:rPr>
                <w:rFonts w:ascii="Arial" w:hAnsi="Arial"/>
              </w:rPr>
              <w:t>215</w:t>
            </w:r>
          </w:p>
        </w:tc>
        <w:tc>
          <w:tcPr>
            <w:tcW w:w="2617" w:type="dxa"/>
            <w:tcBorders>
              <w:top w:val="nil"/>
              <w:left w:val="nil"/>
              <w:bottom w:val="nil"/>
              <w:right w:val="nil"/>
            </w:tcBorders>
            <w:shd w:val="clear" w:color="auto" w:fill="auto"/>
            <w:tcMar>
              <w:top w:w="80" w:type="dxa"/>
              <w:left w:w="80" w:type="dxa"/>
              <w:bottom w:w="80" w:type="dxa"/>
              <w:right w:w="80" w:type="dxa"/>
            </w:tcMar>
          </w:tcPr>
          <w:p w14:paraId="3BA2E4E1" w14:textId="77777777" w:rsidR="000E1F2E" w:rsidRDefault="00E1617B">
            <w:pPr>
              <w:pStyle w:val="TableStyle2"/>
              <w:jc w:val="center"/>
            </w:pPr>
            <w:r>
              <w:rPr>
                <w:rFonts w:ascii="Arial" w:hAnsi="Arial"/>
              </w:rPr>
              <w:t>SMS</w:t>
            </w:r>
          </w:p>
        </w:tc>
        <w:tc>
          <w:tcPr>
            <w:tcW w:w="1830" w:type="dxa"/>
            <w:tcBorders>
              <w:top w:val="nil"/>
              <w:left w:val="nil"/>
              <w:bottom w:val="nil"/>
              <w:right w:val="nil"/>
            </w:tcBorders>
            <w:shd w:val="clear" w:color="auto" w:fill="auto"/>
            <w:tcMar>
              <w:top w:w="80" w:type="dxa"/>
              <w:left w:w="80" w:type="dxa"/>
              <w:bottom w:w="80" w:type="dxa"/>
              <w:right w:w="80" w:type="dxa"/>
            </w:tcMar>
          </w:tcPr>
          <w:p w14:paraId="73336593" w14:textId="77777777" w:rsidR="000E1F2E" w:rsidRDefault="00E1617B">
            <w:pPr>
              <w:pStyle w:val="TableStyle2"/>
              <w:jc w:val="center"/>
            </w:pPr>
            <w:r>
              <w:rPr>
                <w:rFonts w:ascii="Arial" w:hAnsi="Arial"/>
              </w:rPr>
              <w:t>Rule</w:t>
            </w:r>
          </w:p>
        </w:tc>
        <w:tc>
          <w:tcPr>
            <w:tcW w:w="3192" w:type="dxa"/>
            <w:tcBorders>
              <w:top w:val="nil"/>
              <w:left w:val="nil"/>
              <w:bottom w:val="nil"/>
              <w:right w:val="nil"/>
            </w:tcBorders>
            <w:shd w:val="clear" w:color="auto" w:fill="auto"/>
            <w:tcMar>
              <w:top w:w="80" w:type="dxa"/>
              <w:left w:w="80" w:type="dxa"/>
              <w:bottom w:w="80" w:type="dxa"/>
              <w:right w:w="80" w:type="dxa"/>
            </w:tcMar>
          </w:tcPr>
          <w:p w14:paraId="15CCB071" w14:textId="77777777" w:rsidR="000E1F2E" w:rsidRDefault="00E1617B">
            <w:pPr>
              <w:pStyle w:val="TableStyle2"/>
              <w:jc w:val="center"/>
            </w:pPr>
            <w:r>
              <w:rPr>
                <w:rFonts w:ascii="Arial" w:hAnsi="Arial"/>
              </w:rPr>
              <w:t>1/08/2015</w:t>
            </w:r>
          </w:p>
        </w:tc>
      </w:tr>
      <w:tr w:rsidR="000E1F2E" w14:paraId="384CB45C" w14:textId="77777777">
        <w:tblPrEx>
          <w:shd w:val="clear" w:color="auto" w:fill="auto"/>
        </w:tblPrEx>
        <w:trPr>
          <w:trHeight w:val="433"/>
          <w:jc w:val="center"/>
        </w:trPr>
        <w:tc>
          <w:tcPr>
            <w:tcW w:w="1719" w:type="dxa"/>
            <w:tcBorders>
              <w:top w:val="nil"/>
              <w:left w:val="nil"/>
              <w:bottom w:val="nil"/>
              <w:right w:val="nil"/>
            </w:tcBorders>
            <w:shd w:val="clear" w:color="auto" w:fill="auto"/>
            <w:tcMar>
              <w:top w:w="80" w:type="dxa"/>
              <w:left w:w="80" w:type="dxa"/>
              <w:bottom w:w="80" w:type="dxa"/>
              <w:right w:w="80" w:type="dxa"/>
            </w:tcMar>
          </w:tcPr>
          <w:p w14:paraId="668B973B" w14:textId="77777777" w:rsidR="000E1F2E" w:rsidRDefault="00E1617B">
            <w:pPr>
              <w:pStyle w:val="TableStyle1"/>
              <w:jc w:val="center"/>
            </w:pPr>
            <w:r>
              <w:rPr>
                <w:rFonts w:ascii="Arial" w:hAnsi="Arial"/>
              </w:rPr>
              <w:t>216</w:t>
            </w:r>
          </w:p>
        </w:tc>
        <w:tc>
          <w:tcPr>
            <w:tcW w:w="2617" w:type="dxa"/>
            <w:tcBorders>
              <w:top w:val="nil"/>
              <w:left w:val="nil"/>
              <w:bottom w:val="nil"/>
              <w:right w:val="nil"/>
            </w:tcBorders>
            <w:shd w:val="clear" w:color="auto" w:fill="auto"/>
            <w:tcMar>
              <w:top w:w="80" w:type="dxa"/>
              <w:left w:w="80" w:type="dxa"/>
              <w:bottom w:w="80" w:type="dxa"/>
              <w:right w:w="80" w:type="dxa"/>
            </w:tcMar>
          </w:tcPr>
          <w:p w14:paraId="14359C4F" w14:textId="77777777" w:rsidR="000E1F2E" w:rsidRDefault="00E1617B">
            <w:pPr>
              <w:pStyle w:val="TableStyle2"/>
              <w:jc w:val="center"/>
            </w:pPr>
            <w:r>
              <w:rPr>
                <w:rFonts w:ascii="Arial" w:hAnsi="Arial"/>
              </w:rPr>
              <w:t>Pilot screening and qualification</w:t>
            </w:r>
          </w:p>
        </w:tc>
        <w:tc>
          <w:tcPr>
            <w:tcW w:w="1830" w:type="dxa"/>
            <w:tcBorders>
              <w:top w:val="nil"/>
              <w:left w:val="nil"/>
              <w:bottom w:val="nil"/>
              <w:right w:val="nil"/>
            </w:tcBorders>
            <w:shd w:val="clear" w:color="auto" w:fill="auto"/>
            <w:tcMar>
              <w:top w:w="80" w:type="dxa"/>
              <w:left w:w="80" w:type="dxa"/>
              <w:bottom w:w="80" w:type="dxa"/>
              <w:right w:w="80" w:type="dxa"/>
            </w:tcMar>
          </w:tcPr>
          <w:p w14:paraId="67BA4F6C" w14:textId="77777777" w:rsidR="000E1F2E" w:rsidRDefault="00E1617B">
            <w:pPr>
              <w:pStyle w:val="TableStyle2"/>
              <w:jc w:val="center"/>
            </w:pPr>
            <w:r>
              <w:rPr>
                <w:rFonts w:ascii="Arial" w:hAnsi="Arial"/>
              </w:rPr>
              <w:t>Rule</w:t>
            </w:r>
          </w:p>
        </w:tc>
        <w:tc>
          <w:tcPr>
            <w:tcW w:w="3192" w:type="dxa"/>
            <w:tcBorders>
              <w:top w:val="nil"/>
              <w:left w:val="nil"/>
              <w:bottom w:val="nil"/>
              <w:right w:val="nil"/>
            </w:tcBorders>
            <w:shd w:val="clear" w:color="auto" w:fill="auto"/>
            <w:tcMar>
              <w:top w:w="80" w:type="dxa"/>
              <w:left w:w="80" w:type="dxa"/>
              <w:bottom w:w="80" w:type="dxa"/>
              <w:right w:w="80" w:type="dxa"/>
            </w:tcMar>
          </w:tcPr>
          <w:p w14:paraId="7185E26F" w14:textId="77777777" w:rsidR="000E1F2E" w:rsidRDefault="00E1617B">
            <w:pPr>
              <w:pStyle w:val="TableStyle2"/>
              <w:jc w:val="center"/>
            </w:pPr>
            <w:r>
              <w:rPr>
                <w:rFonts w:ascii="Arial" w:hAnsi="Arial"/>
              </w:rPr>
              <w:t>7/15/2013</w:t>
            </w:r>
          </w:p>
        </w:tc>
      </w:tr>
      <w:tr w:rsidR="000E1F2E" w14:paraId="57DFA7B4" w14:textId="77777777">
        <w:tblPrEx>
          <w:shd w:val="clear" w:color="auto" w:fill="auto"/>
        </w:tblPrEx>
        <w:trPr>
          <w:trHeight w:val="280"/>
          <w:jc w:val="center"/>
        </w:trPr>
        <w:tc>
          <w:tcPr>
            <w:tcW w:w="1719" w:type="dxa"/>
            <w:tcBorders>
              <w:top w:val="nil"/>
              <w:left w:val="nil"/>
              <w:bottom w:val="nil"/>
              <w:right w:val="nil"/>
            </w:tcBorders>
            <w:shd w:val="clear" w:color="auto" w:fill="auto"/>
            <w:tcMar>
              <w:top w:w="80" w:type="dxa"/>
              <w:left w:w="80" w:type="dxa"/>
              <w:bottom w:w="80" w:type="dxa"/>
              <w:right w:w="80" w:type="dxa"/>
            </w:tcMar>
          </w:tcPr>
          <w:p w14:paraId="71B006F5" w14:textId="77777777" w:rsidR="000E1F2E" w:rsidRDefault="00E1617B">
            <w:pPr>
              <w:pStyle w:val="TableStyle1"/>
              <w:jc w:val="center"/>
            </w:pPr>
            <w:r>
              <w:rPr>
                <w:rFonts w:ascii="Arial" w:hAnsi="Arial"/>
              </w:rPr>
              <w:t>217</w:t>
            </w:r>
          </w:p>
        </w:tc>
        <w:tc>
          <w:tcPr>
            <w:tcW w:w="2617" w:type="dxa"/>
            <w:tcBorders>
              <w:top w:val="nil"/>
              <w:left w:val="nil"/>
              <w:bottom w:val="nil"/>
              <w:right w:val="nil"/>
            </w:tcBorders>
            <w:shd w:val="clear" w:color="auto" w:fill="auto"/>
            <w:tcMar>
              <w:top w:w="80" w:type="dxa"/>
              <w:left w:w="80" w:type="dxa"/>
              <w:bottom w:w="80" w:type="dxa"/>
              <w:right w:w="80" w:type="dxa"/>
            </w:tcMar>
          </w:tcPr>
          <w:p w14:paraId="0907E788" w14:textId="77777777" w:rsidR="000E1F2E" w:rsidRDefault="00E1617B">
            <w:pPr>
              <w:pStyle w:val="TableStyle2"/>
              <w:jc w:val="center"/>
            </w:pPr>
            <w:r>
              <w:rPr>
                <w:rFonts w:ascii="Arial" w:hAnsi="Arial"/>
              </w:rPr>
              <w:t>ATP certification</w:t>
            </w:r>
          </w:p>
        </w:tc>
        <w:tc>
          <w:tcPr>
            <w:tcW w:w="1830" w:type="dxa"/>
            <w:tcBorders>
              <w:top w:val="nil"/>
              <w:left w:val="nil"/>
              <w:bottom w:val="nil"/>
              <w:right w:val="nil"/>
            </w:tcBorders>
            <w:shd w:val="clear" w:color="auto" w:fill="auto"/>
            <w:tcMar>
              <w:top w:w="80" w:type="dxa"/>
              <w:left w:w="80" w:type="dxa"/>
              <w:bottom w:w="80" w:type="dxa"/>
              <w:right w:w="80" w:type="dxa"/>
            </w:tcMar>
          </w:tcPr>
          <w:p w14:paraId="0F4A1012" w14:textId="77777777" w:rsidR="000E1F2E" w:rsidRDefault="00E1617B">
            <w:pPr>
              <w:pStyle w:val="TableStyle2"/>
              <w:jc w:val="center"/>
            </w:pPr>
            <w:r>
              <w:rPr>
                <w:rFonts w:ascii="Arial" w:hAnsi="Arial"/>
              </w:rPr>
              <w:t>Rule</w:t>
            </w:r>
          </w:p>
        </w:tc>
        <w:tc>
          <w:tcPr>
            <w:tcW w:w="3192" w:type="dxa"/>
            <w:tcBorders>
              <w:top w:val="nil"/>
              <w:left w:val="nil"/>
              <w:bottom w:val="nil"/>
              <w:right w:val="nil"/>
            </w:tcBorders>
            <w:shd w:val="clear" w:color="auto" w:fill="auto"/>
            <w:tcMar>
              <w:top w:w="80" w:type="dxa"/>
              <w:left w:w="80" w:type="dxa"/>
              <w:bottom w:w="80" w:type="dxa"/>
              <w:right w:w="80" w:type="dxa"/>
            </w:tcMar>
          </w:tcPr>
          <w:p w14:paraId="275736D7" w14:textId="77777777" w:rsidR="000E1F2E" w:rsidRDefault="00E1617B">
            <w:pPr>
              <w:pStyle w:val="TableStyle2"/>
              <w:jc w:val="center"/>
            </w:pPr>
            <w:r>
              <w:rPr>
                <w:rFonts w:ascii="Arial" w:hAnsi="Arial"/>
              </w:rPr>
              <w:t>7/15/2013</w:t>
            </w:r>
          </w:p>
        </w:tc>
      </w:tr>
    </w:tbl>
    <w:p w14:paraId="3A3176D0" w14:textId="77777777" w:rsidR="000E1F2E" w:rsidRDefault="000E1F2E">
      <w:pPr>
        <w:pStyle w:val="Body"/>
        <w:jc w:val="center"/>
        <w:rPr>
          <w:sz w:val="24"/>
          <w:szCs w:val="24"/>
        </w:rPr>
      </w:pPr>
    </w:p>
    <w:p w14:paraId="16A7DBE9" w14:textId="77777777" w:rsidR="000E1F2E" w:rsidRDefault="000E1F2E">
      <w:pPr>
        <w:pStyle w:val="Body"/>
        <w:jc w:val="both"/>
        <w:rPr>
          <w:sz w:val="24"/>
          <w:szCs w:val="24"/>
        </w:rPr>
      </w:pPr>
    </w:p>
    <w:p w14:paraId="40AC4506" w14:textId="77777777" w:rsidR="000E1F2E" w:rsidRDefault="000E1F2E">
      <w:pPr>
        <w:pStyle w:val="Body"/>
        <w:jc w:val="both"/>
        <w:rPr>
          <w:sz w:val="24"/>
          <w:szCs w:val="24"/>
        </w:rPr>
      </w:pPr>
    </w:p>
    <w:p w14:paraId="2BE0C6AE" w14:textId="77777777" w:rsidR="000E1F2E" w:rsidRDefault="00E1617B">
      <w:pPr>
        <w:pStyle w:val="Body"/>
        <w:jc w:val="both"/>
        <w:rPr>
          <w:b/>
          <w:bCs/>
          <w:sz w:val="26"/>
          <w:szCs w:val="26"/>
        </w:rPr>
      </w:pPr>
      <w:r>
        <w:rPr>
          <w:b/>
          <w:bCs/>
          <w:sz w:val="26"/>
          <w:szCs w:val="26"/>
        </w:rPr>
        <w:t>Pilot Certification, Records and Selection</w:t>
      </w:r>
    </w:p>
    <w:p w14:paraId="6932D055" w14:textId="77777777" w:rsidR="000E1F2E" w:rsidRDefault="000E1F2E">
      <w:pPr>
        <w:pStyle w:val="Body"/>
        <w:jc w:val="both"/>
        <w:rPr>
          <w:b/>
          <w:bCs/>
          <w:sz w:val="24"/>
          <w:szCs w:val="24"/>
        </w:rPr>
      </w:pPr>
    </w:p>
    <w:p w14:paraId="5D6F45E3" w14:textId="77777777" w:rsidR="000E1F2E" w:rsidRDefault="00E1617B">
      <w:pPr>
        <w:pStyle w:val="Body"/>
        <w:jc w:val="both"/>
        <w:rPr>
          <w:b/>
          <w:bCs/>
          <w:sz w:val="24"/>
          <w:szCs w:val="24"/>
        </w:rPr>
      </w:pPr>
      <w:r>
        <w:rPr>
          <w:b/>
          <w:bCs/>
          <w:sz w:val="24"/>
          <w:szCs w:val="24"/>
        </w:rPr>
        <w:tab/>
        <w:t>ATP Certification and Airline Hiring</w:t>
      </w:r>
    </w:p>
    <w:p w14:paraId="10D8FCB8" w14:textId="77777777" w:rsidR="000E1F2E" w:rsidRDefault="000E1F2E">
      <w:pPr>
        <w:pStyle w:val="Body"/>
        <w:jc w:val="both"/>
        <w:rPr>
          <w:b/>
          <w:bCs/>
          <w:sz w:val="24"/>
          <w:szCs w:val="24"/>
        </w:rPr>
      </w:pPr>
    </w:p>
    <w:p w14:paraId="6F63DDDB" w14:textId="77777777" w:rsidR="000E1F2E" w:rsidRDefault="00E1617B">
      <w:pPr>
        <w:pStyle w:val="Body"/>
        <w:jc w:val="both"/>
        <w:rPr>
          <w:sz w:val="24"/>
          <w:szCs w:val="24"/>
        </w:rPr>
      </w:pPr>
      <w:r>
        <w:rPr>
          <w:b/>
          <w:bCs/>
          <w:sz w:val="24"/>
          <w:szCs w:val="24"/>
        </w:rPr>
        <w:tab/>
      </w:r>
      <w:r>
        <w:rPr>
          <w:sz w:val="24"/>
          <w:szCs w:val="24"/>
        </w:rPr>
        <w:t>The airline safety act required that both the pilot-in-command (PIC) and second-in-command (SIC) at part 121 airlines have an Airline Transport Pilot (ATP) certificate and multiengine flight experience. The Act also mandated that ATP applicants have 1,500 flight hours,</w:t>
      </w:r>
      <w:r>
        <w:rPr>
          <w:b/>
          <w:bCs/>
          <w:sz w:val="24"/>
          <w:szCs w:val="24"/>
          <w:vertAlign w:val="superscript"/>
        </w:rPr>
        <w:endnoteReference w:id="9"/>
      </w:r>
      <w:r>
        <w:rPr>
          <w:sz w:val="24"/>
          <w:szCs w:val="24"/>
        </w:rPr>
        <w:t xml:space="preserve"> and required the FAA to write more stringent rules for the ATP </w:t>
      </w:r>
      <w:r>
        <w:rPr>
          <w:sz w:val="24"/>
          <w:szCs w:val="24"/>
        </w:rPr>
        <w:lastRenderedPageBreak/>
        <w:t xml:space="preserve">certification training process. The NTSB’s report provided details of the captain’s certification difficulties but did not recommend changes to airline hiring standards or FAA pilot certification. The report did reiterate an open 2005 recommendation urging all operators to check a pilot’s flight check failures prior to employment. Sections 216 and 217 of the airline safety act addressed these subjects. It mandated extensive </w:t>
      </w:r>
      <w:proofErr w:type="spellStart"/>
      <w:r>
        <w:rPr>
          <w:sz w:val="24"/>
          <w:szCs w:val="24"/>
        </w:rPr>
        <w:t>preemployment</w:t>
      </w:r>
      <w:proofErr w:type="spellEnd"/>
      <w:r>
        <w:rPr>
          <w:sz w:val="24"/>
          <w:szCs w:val="24"/>
        </w:rPr>
        <w:t xml:space="preserve"> screening for pilots by airlines and, in section 203, created a new pilot records database to facilitate this screening.</w:t>
      </w:r>
    </w:p>
    <w:p w14:paraId="6543118B" w14:textId="77777777" w:rsidR="000E1F2E" w:rsidRDefault="000E1F2E">
      <w:pPr>
        <w:pStyle w:val="Body"/>
        <w:jc w:val="both"/>
        <w:rPr>
          <w:b/>
          <w:bCs/>
          <w:sz w:val="24"/>
          <w:szCs w:val="24"/>
        </w:rPr>
      </w:pPr>
    </w:p>
    <w:p w14:paraId="5904EC6B" w14:textId="77777777" w:rsidR="000E1F2E" w:rsidRDefault="00E1617B">
      <w:pPr>
        <w:pStyle w:val="Body"/>
        <w:jc w:val="both"/>
        <w:rPr>
          <w:sz w:val="24"/>
          <w:szCs w:val="24"/>
        </w:rPr>
      </w:pPr>
      <w:r>
        <w:rPr>
          <w:b/>
          <w:bCs/>
          <w:sz w:val="24"/>
          <w:szCs w:val="24"/>
        </w:rPr>
        <w:tab/>
      </w:r>
      <w:r>
        <w:rPr>
          <w:sz w:val="24"/>
          <w:szCs w:val="24"/>
        </w:rPr>
        <w:t>The FAA published the “Pilot Certification and Qualification Requirements for Air Carrier Operations” final rule in July, 2013.</w:t>
      </w:r>
      <w:r>
        <w:rPr>
          <w:b/>
          <w:bCs/>
          <w:sz w:val="24"/>
          <w:szCs w:val="24"/>
          <w:vertAlign w:val="superscript"/>
        </w:rPr>
        <w:endnoteReference w:id="10"/>
      </w:r>
      <w:r>
        <w:rPr>
          <w:sz w:val="24"/>
          <w:szCs w:val="24"/>
        </w:rPr>
        <w:t xml:space="preserve"> The rule required ATP applicants to complete a certification training program (CTP), standards for which were set by the FAA. All CTP programs are now reviewed by FAA headquarters. So far, 75 colleges have been approved to provide training for the restricted ATP certificate, and 21 organizations, including 10 airlines and 11 simulator-equipped training schools,</w:t>
      </w:r>
      <w:r>
        <w:rPr>
          <w:b/>
          <w:bCs/>
          <w:sz w:val="24"/>
          <w:szCs w:val="24"/>
          <w:vertAlign w:val="superscript"/>
        </w:rPr>
        <w:endnoteReference w:id="11"/>
      </w:r>
      <w:r>
        <w:rPr>
          <w:sz w:val="24"/>
          <w:szCs w:val="24"/>
        </w:rPr>
        <w:t xml:space="preserve"> have been approved to complete the CTP.</w:t>
      </w:r>
      <w:r>
        <w:rPr>
          <w:b/>
          <w:bCs/>
          <w:sz w:val="24"/>
          <w:szCs w:val="24"/>
          <w:vertAlign w:val="superscript"/>
        </w:rPr>
        <w:endnoteReference w:id="12"/>
      </w:r>
      <w:r>
        <w:rPr>
          <w:sz w:val="24"/>
          <w:szCs w:val="24"/>
        </w:rPr>
        <w:t xml:space="preserve"> Minimum standards for CTP instructors were also established, including at least two years experience as a Part 121 airline pilot.</w:t>
      </w:r>
    </w:p>
    <w:p w14:paraId="2CEEA66E" w14:textId="77777777" w:rsidR="000E1F2E" w:rsidRDefault="000E1F2E">
      <w:pPr>
        <w:pStyle w:val="Body"/>
        <w:jc w:val="both"/>
        <w:rPr>
          <w:sz w:val="24"/>
          <w:szCs w:val="24"/>
        </w:rPr>
      </w:pPr>
    </w:p>
    <w:p w14:paraId="5A739078" w14:textId="77777777" w:rsidR="000E1F2E" w:rsidRDefault="00E1617B">
      <w:pPr>
        <w:pStyle w:val="Body"/>
        <w:jc w:val="both"/>
        <w:rPr>
          <w:sz w:val="24"/>
          <w:szCs w:val="24"/>
        </w:rPr>
      </w:pPr>
      <w:r>
        <w:rPr>
          <w:sz w:val="24"/>
          <w:szCs w:val="24"/>
        </w:rPr>
        <w:tab/>
        <w:t xml:space="preserve">The new pilot certification rules were the result of far more than just the events of the </w:t>
      </w:r>
      <w:proofErr w:type="spellStart"/>
      <w:r>
        <w:rPr>
          <w:sz w:val="24"/>
          <w:szCs w:val="24"/>
        </w:rPr>
        <w:t>Colgan</w:t>
      </w:r>
      <w:proofErr w:type="spellEnd"/>
      <w:r>
        <w:rPr>
          <w:sz w:val="24"/>
          <w:szCs w:val="24"/>
        </w:rPr>
        <w:t xml:space="preserve"> accident. The FAA took into consideration recommendations of the First Officer Qualification (FOQ) ARC, analysis of 58 pilot-involved accidents, and 23 previous NTSB recommendations, including two from the </w:t>
      </w:r>
      <w:proofErr w:type="spellStart"/>
      <w:r>
        <w:rPr>
          <w:sz w:val="24"/>
          <w:szCs w:val="24"/>
        </w:rPr>
        <w:t>Colgan</w:t>
      </w:r>
      <w:proofErr w:type="spellEnd"/>
      <w:r>
        <w:rPr>
          <w:sz w:val="24"/>
          <w:szCs w:val="24"/>
        </w:rPr>
        <w:t xml:space="preserve"> report. However, the circumstances of the </w:t>
      </w:r>
      <w:proofErr w:type="spellStart"/>
      <w:r>
        <w:rPr>
          <w:sz w:val="24"/>
          <w:szCs w:val="24"/>
        </w:rPr>
        <w:t>Colgan</w:t>
      </w:r>
      <w:proofErr w:type="spellEnd"/>
      <w:r>
        <w:rPr>
          <w:sz w:val="24"/>
          <w:szCs w:val="24"/>
        </w:rPr>
        <w:t xml:space="preserve"> accident, including the captain’s unusually numerous certification failures and the lack of adequate screening, training, and supervision of pilots at the airline were a significant driver of the new rules. Investigators traced both of the accident pilots’ performance histories back to their previous employers, and even further back to their original training, and showed how they developed over time. This helped the FAA and Congress understand how the training and certification process needed to be strengthened.</w:t>
      </w:r>
    </w:p>
    <w:p w14:paraId="1E7A2283" w14:textId="77777777" w:rsidR="000E1F2E" w:rsidRDefault="000E1F2E">
      <w:pPr>
        <w:pStyle w:val="Body"/>
        <w:jc w:val="both"/>
        <w:rPr>
          <w:sz w:val="24"/>
          <w:szCs w:val="24"/>
        </w:rPr>
      </w:pPr>
    </w:p>
    <w:p w14:paraId="4E8ACA0A" w14:textId="77777777" w:rsidR="000E1F2E" w:rsidRDefault="00E1617B">
      <w:pPr>
        <w:pStyle w:val="Body"/>
        <w:jc w:val="both"/>
        <w:rPr>
          <w:sz w:val="24"/>
          <w:szCs w:val="24"/>
        </w:rPr>
      </w:pPr>
      <w:r>
        <w:rPr>
          <w:sz w:val="24"/>
          <w:szCs w:val="24"/>
        </w:rPr>
        <w:tab/>
        <w:t>The most controversial element of the new airline regulations was the “1500 hour rule.” Historically, major airlines have hired pilots with flight experience far in excess of 1500 hours, even though the minimum FAA requirement for an SIC was only a commercial certificate (250 hours or less).</w:t>
      </w:r>
      <w:r>
        <w:rPr>
          <w:b/>
          <w:bCs/>
          <w:sz w:val="24"/>
          <w:szCs w:val="24"/>
          <w:vertAlign w:val="superscript"/>
        </w:rPr>
        <w:endnoteReference w:id="13"/>
      </w:r>
      <w:r>
        <w:rPr>
          <w:sz w:val="24"/>
          <w:szCs w:val="24"/>
        </w:rPr>
        <w:t xml:space="preserve">  Earning low pay working in marginal, even hazardous, conditions was a rite of passage for most airline pilots. Typically, pilots who did not serve in the military gained experience flying at air charter companies, commuter airlines, supplemental airlines, or served as flight instructors. As regional airlines have grown into a major segment of the airline business, their low pay and limited career opportunities have made it more difficult for them to recruit entry level pilots. Their perceived need is to go back to hiring pilots with 400 to 600 hours, as </w:t>
      </w:r>
      <w:proofErr w:type="spellStart"/>
      <w:r>
        <w:rPr>
          <w:sz w:val="24"/>
          <w:szCs w:val="24"/>
        </w:rPr>
        <w:t>Colgan</w:t>
      </w:r>
      <w:proofErr w:type="spellEnd"/>
      <w:r>
        <w:rPr>
          <w:sz w:val="24"/>
          <w:szCs w:val="24"/>
        </w:rPr>
        <w:t xml:space="preserve"> did. Their trade association, the Regional Airline Association (RAA), has lobbied Congress to relax the </w:t>
      </w:r>
      <w:proofErr w:type="gramStart"/>
      <w:r>
        <w:rPr>
          <w:sz w:val="24"/>
          <w:szCs w:val="24"/>
        </w:rPr>
        <w:t>1500 hour</w:t>
      </w:r>
      <w:proofErr w:type="gramEnd"/>
      <w:r>
        <w:rPr>
          <w:sz w:val="24"/>
          <w:szCs w:val="24"/>
        </w:rPr>
        <w:t xml:space="preserve"> rule, so far without success.</w:t>
      </w:r>
    </w:p>
    <w:p w14:paraId="3D75C24A" w14:textId="77777777" w:rsidR="000E1F2E" w:rsidRDefault="000E1F2E">
      <w:pPr>
        <w:pStyle w:val="Body"/>
        <w:jc w:val="both"/>
        <w:rPr>
          <w:sz w:val="24"/>
          <w:szCs w:val="24"/>
        </w:rPr>
      </w:pPr>
    </w:p>
    <w:p w14:paraId="69AB76DC" w14:textId="77777777" w:rsidR="000E1F2E" w:rsidRDefault="00E1617B">
      <w:pPr>
        <w:pStyle w:val="Body"/>
        <w:jc w:val="both"/>
        <w:rPr>
          <w:sz w:val="24"/>
          <w:szCs w:val="24"/>
        </w:rPr>
      </w:pPr>
      <w:r>
        <w:rPr>
          <w:sz w:val="24"/>
          <w:szCs w:val="24"/>
        </w:rPr>
        <w:lastRenderedPageBreak/>
        <w:tab/>
        <w:t>The airline industry will need to find a way to recruit and develop adequate numbers of new pilots to serve in the future without sacrificing the standards now in effect.</w:t>
      </w:r>
    </w:p>
    <w:p w14:paraId="71FBB7ED" w14:textId="77777777" w:rsidR="000E1F2E" w:rsidRDefault="00E1617B">
      <w:pPr>
        <w:pStyle w:val="Body"/>
        <w:jc w:val="both"/>
        <w:rPr>
          <w:b/>
          <w:bCs/>
          <w:sz w:val="24"/>
          <w:szCs w:val="24"/>
        </w:rPr>
      </w:pPr>
      <w:r>
        <w:rPr>
          <w:sz w:val="24"/>
          <w:szCs w:val="24"/>
        </w:rPr>
        <w:tab/>
      </w:r>
    </w:p>
    <w:p w14:paraId="60CBEF6A" w14:textId="77777777" w:rsidR="000E1F2E" w:rsidRDefault="00E1617B">
      <w:pPr>
        <w:pStyle w:val="Body"/>
        <w:jc w:val="both"/>
        <w:rPr>
          <w:b/>
          <w:bCs/>
          <w:sz w:val="24"/>
          <w:szCs w:val="24"/>
        </w:rPr>
      </w:pPr>
      <w:r>
        <w:rPr>
          <w:b/>
          <w:bCs/>
          <w:sz w:val="24"/>
          <w:szCs w:val="24"/>
        </w:rPr>
        <w:tab/>
        <w:t>Pilot Records</w:t>
      </w:r>
    </w:p>
    <w:p w14:paraId="0AAC9A24" w14:textId="77777777" w:rsidR="000E1F2E" w:rsidRDefault="000E1F2E">
      <w:pPr>
        <w:pStyle w:val="Body"/>
        <w:jc w:val="both"/>
        <w:rPr>
          <w:b/>
          <w:bCs/>
          <w:sz w:val="24"/>
          <w:szCs w:val="24"/>
        </w:rPr>
      </w:pPr>
    </w:p>
    <w:p w14:paraId="1AA20862" w14:textId="77777777" w:rsidR="000E1F2E" w:rsidRDefault="00E1617B">
      <w:pPr>
        <w:pStyle w:val="Body"/>
        <w:jc w:val="both"/>
        <w:rPr>
          <w:sz w:val="24"/>
          <w:szCs w:val="24"/>
        </w:rPr>
      </w:pPr>
      <w:r>
        <w:rPr>
          <w:b/>
          <w:bCs/>
          <w:sz w:val="24"/>
          <w:szCs w:val="24"/>
        </w:rPr>
        <w:tab/>
      </w:r>
      <w:r>
        <w:rPr>
          <w:sz w:val="24"/>
          <w:szCs w:val="24"/>
        </w:rPr>
        <w:t xml:space="preserve">There were four recommendations in the NTSB report about pilot records. They addressed the need for better accuracy and completeness of records, and the need to use these improved records for remedial training and pilot hiring. Investigators were able to obtain detailed training records from the accident captain’s previous employers that </w:t>
      </w:r>
      <w:proofErr w:type="spellStart"/>
      <w:r>
        <w:rPr>
          <w:sz w:val="24"/>
          <w:szCs w:val="24"/>
        </w:rPr>
        <w:t>Colgan</w:t>
      </w:r>
      <w:proofErr w:type="spellEnd"/>
      <w:r>
        <w:rPr>
          <w:sz w:val="24"/>
          <w:szCs w:val="24"/>
        </w:rPr>
        <w:t xml:space="preserve"> had never obtained, and these records clearly showed he had major proficiency issues before he ever was hired at </w:t>
      </w:r>
      <w:proofErr w:type="spellStart"/>
      <w:r>
        <w:rPr>
          <w:sz w:val="24"/>
          <w:szCs w:val="24"/>
        </w:rPr>
        <w:t>Colgan</w:t>
      </w:r>
      <w:proofErr w:type="spellEnd"/>
      <w:r>
        <w:rPr>
          <w:sz w:val="24"/>
          <w:szCs w:val="24"/>
        </w:rPr>
        <w:t xml:space="preserve">. Investigators also showed </w:t>
      </w:r>
      <w:proofErr w:type="spellStart"/>
      <w:r>
        <w:rPr>
          <w:sz w:val="24"/>
          <w:szCs w:val="24"/>
        </w:rPr>
        <w:t>Colgan</w:t>
      </w:r>
      <w:proofErr w:type="spellEnd"/>
      <w:r>
        <w:rPr>
          <w:sz w:val="24"/>
          <w:szCs w:val="24"/>
        </w:rPr>
        <w:t xml:space="preserve"> retained only minimal records of the captain’s training events even though he either failed or barely passed his first three company check rides. The NTSB report showed records had to be better kept and better used, and Congress agreed.</w:t>
      </w:r>
    </w:p>
    <w:p w14:paraId="55285F02" w14:textId="77777777" w:rsidR="000E1F2E" w:rsidRDefault="000E1F2E">
      <w:pPr>
        <w:pStyle w:val="Body"/>
        <w:jc w:val="both"/>
        <w:rPr>
          <w:sz w:val="24"/>
          <w:szCs w:val="24"/>
        </w:rPr>
      </w:pPr>
    </w:p>
    <w:p w14:paraId="08D1AD8A" w14:textId="77777777" w:rsidR="000E1F2E" w:rsidRDefault="00E1617B">
      <w:pPr>
        <w:pStyle w:val="Body"/>
        <w:jc w:val="both"/>
        <w:rPr>
          <w:sz w:val="24"/>
          <w:szCs w:val="24"/>
        </w:rPr>
      </w:pPr>
      <w:r>
        <w:rPr>
          <w:sz w:val="24"/>
          <w:szCs w:val="24"/>
        </w:rPr>
        <w:tab/>
        <w:t>The NTSB did not call for the creation of a new FAA pilot records database (PRD), but section 203 of the airline safety act did. To date, the database is not fully operational. The Department of Transportation Office of inspector General (DOT OIG) told Congress in 2016  “a robust, centralized database for pilot records remains years away.”</w:t>
      </w:r>
      <w:r>
        <w:rPr>
          <w:b/>
          <w:bCs/>
          <w:sz w:val="24"/>
          <w:szCs w:val="24"/>
          <w:vertAlign w:val="superscript"/>
        </w:rPr>
        <w:endnoteReference w:id="14"/>
      </w:r>
      <w:r>
        <w:rPr>
          <w:sz w:val="24"/>
          <w:szCs w:val="24"/>
        </w:rPr>
        <w:t xml:space="preserve"> While a PRD NPRM has not yet been published, the FAA did establish a three phase PRD deployment plan in December, 2016.</w:t>
      </w:r>
      <w:r>
        <w:rPr>
          <w:b/>
          <w:bCs/>
          <w:sz w:val="24"/>
          <w:szCs w:val="24"/>
          <w:vertAlign w:val="superscript"/>
        </w:rPr>
        <w:endnoteReference w:id="15"/>
      </w:r>
      <w:r>
        <w:rPr>
          <w:sz w:val="24"/>
          <w:szCs w:val="24"/>
        </w:rPr>
        <w:t xml:space="preserve"> In the current phase one period, the FAA provides airline access to pilot information so far available while maintaining the existing requirements of the older pilot Records improvement Act (PRIA) rule.</w:t>
      </w:r>
    </w:p>
    <w:p w14:paraId="6EFB4A7E" w14:textId="77777777" w:rsidR="000E1F2E" w:rsidRDefault="000E1F2E">
      <w:pPr>
        <w:pStyle w:val="Body"/>
        <w:jc w:val="both"/>
        <w:rPr>
          <w:sz w:val="24"/>
          <w:szCs w:val="24"/>
        </w:rPr>
      </w:pPr>
    </w:p>
    <w:p w14:paraId="3965A8ED" w14:textId="77777777" w:rsidR="000E1F2E" w:rsidRDefault="00E1617B">
      <w:pPr>
        <w:pStyle w:val="Body"/>
        <w:jc w:val="both"/>
        <w:rPr>
          <w:sz w:val="24"/>
          <w:szCs w:val="24"/>
        </w:rPr>
      </w:pPr>
      <w:r>
        <w:rPr>
          <w:sz w:val="24"/>
          <w:szCs w:val="24"/>
        </w:rPr>
        <w:tab/>
        <w:t>The difficulty the FAA has had in implementing the PRD reflects in part conflicts within the industry. Pilots and airlines, concerned about privacy and liability, want to minimize the data maintained in the database. Safety advocates, including the NTSB, want to see more robust data. A major problem caused by the FAA’s failure to move more quickly is that large amounts of historical data may be lost as time passes. Other safety improvements, including training, remediation and pilot hiring rules and practices, depend on the quality of the PRD. The FAA will need to move more quickly to establish the PRD.</w:t>
      </w:r>
    </w:p>
    <w:p w14:paraId="0C0E6E55" w14:textId="77777777" w:rsidR="000E1F2E" w:rsidRDefault="00E1617B">
      <w:pPr>
        <w:pStyle w:val="Body"/>
        <w:jc w:val="both"/>
        <w:rPr>
          <w:b/>
          <w:bCs/>
          <w:sz w:val="24"/>
          <w:szCs w:val="24"/>
        </w:rPr>
      </w:pPr>
      <w:r>
        <w:rPr>
          <w:sz w:val="24"/>
          <w:szCs w:val="24"/>
        </w:rPr>
        <w:tab/>
      </w:r>
    </w:p>
    <w:p w14:paraId="20AB6B61" w14:textId="77777777" w:rsidR="000E1F2E" w:rsidRDefault="000E1F2E">
      <w:pPr>
        <w:pStyle w:val="Body"/>
        <w:jc w:val="both"/>
        <w:rPr>
          <w:sz w:val="26"/>
          <w:szCs w:val="26"/>
        </w:rPr>
      </w:pPr>
    </w:p>
    <w:p w14:paraId="6B431A10" w14:textId="77777777" w:rsidR="000E1F2E" w:rsidRDefault="00E1617B">
      <w:pPr>
        <w:pStyle w:val="Body"/>
        <w:jc w:val="both"/>
        <w:rPr>
          <w:sz w:val="26"/>
          <w:szCs w:val="26"/>
        </w:rPr>
      </w:pPr>
      <w:r>
        <w:rPr>
          <w:b/>
          <w:bCs/>
          <w:sz w:val="26"/>
          <w:szCs w:val="26"/>
        </w:rPr>
        <w:t>Training</w:t>
      </w:r>
    </w:p>
    <w:p w14:paraId="084BD000" w14:textId="77777777" w:rsidR="000E1F2E" w:rsidRDefault="000E1F2E">
      <w:pPr>
        <w:pStyle w:val="Body"/>
        <w:jc w:val="both"/>
        <w:rPr>
          <w:sz w:val="24"/>
          <w:szCs w:val="24"/>
        </w:rPr>
      </w:pPr>
    </w:p>
    <w:p w14:paraId="5F7750F6" w14:textId="77777777" w:rsidR="000E1F2E" w:rsidRDefault="00E1617B">
      <w:pPr>
        <w:pStyle w:val="Body"/>
        <w:jc w:val="both"/>
        <w:rPr>
          <w:b/>
          <w:bCs/>
          <w:sz w:val="24"/>
          <w:szCs w:val="24"/>
        </w:rPr>
      </w:pPr>
      <w:r>
        <w:rPr>
          <w:sz w:val="24"/>
          <w:szCs w:val="24"/>
        </w:rPr>
        <w:tab/>
      </w:r>
      <w:r>
        <w:rPr>
          <w:b/>
          <w:bCs/>
          <w:sz w:val="24"/>
          <w:szCs w:val="24"/>
        </w:rPr>
        <w:t>Airline Stall and Stick Pusher Training</w:t>
      </w:r>
    </w:p>
    <w:p w14:paraId="7F69D9B6" w14:textId="77777777" w:rsidR="000E1F2E" w:rsidRDefault="000E1F2E">
      <w:pPr>
        <w:pStyle w:val="Body"/>
        <w:jc w:val="both"/>
        <w:rPr>
          <w:sz w:val="24"/>
          <w:szCs w:val="24"/>
        </w:rPr>
      </w:pPr>
    </w:p>
    <w:p w14:paraId="1AD20DFC" w14:textId="77777777" w:rsidR="000E1F2E" w:rsidRDefault="00E1617B">
      <w:pPr>
        <w:pStyle w:val="Body"/>
        <w:jc w:val="both"/>
        <w:rPr>
          <w:sz w:val="24"/>
          <w:szCs w:val="24"/>
        </w:rPr>
      </w:pPr>
      <w:r>
        <w:rPr>
          <w:sz w:val="24"/>
          <w:szCs w:val="24"/>
        </w:rPr>
        <w:tab/>
        <w:t xml:space="preserve">A significant change to airline training recommended by the NTSB was the requirement for airline pilots to do periodic training on full aerodynamic stall recognition and recovery. Three recommendations in the NTSB report addressed aerodynamic stalls. One was a simple procedural change that was quickly adopted by Q400 operators. Two others were more challenging. One called for a significant change in the </w:t>
      </w:r>
      <w:r>
        <w:rPr>
          <w:sz w:val="24"/>
          <w:szCs w:val="24"/>
        </w:rPr>
        <w:lastRenderedPageBreak/>
        <w:t>way air carrier pilots train to recognize and recover from aerodynamic stalls. Another called for stick pusher simulator training for pilots flying stick pusher equipped airplanes. Section 208 of the airline safety act made this training mandatory. Both the stall and stick pusher training required significant improvements in simulator fidelity.</w:t>
      </w:r>
    </w:p>
    <w:p w14:paraId="076F418F" w14:textId="77777777" w:rsidR="000E1F2E" w:rsidRDefault="000E1F2E">
      <w:pPr>
        <w:pStyle w:val="Body"/>
        <w:jc w:val="both"/>
        <w:rPr>
          <w:sz w:val="24"/>
          <w:szCs w:val="24"/>
        </w:rPr>
      </w:pPr>
    </w:p>
    <w:p w14:paraId="5232C997" w14:textId="77777777" w:rsidR="000E1F2E" w:rsidRDefault="00E1617B">
      <w:pPr>
        <w:pStyle w:val="Body"/>
        <w:jc w:val="both"/>
        <w:rPr>
          <w:sz w:val="24"/>
          <w:szCs w:val="24"/>
        </w:rPr>
      </w:pPr>
      <w:r>
        <w:rPr>
          <w:sz w:val="24"/>
          <w:szCs w:val="24"/>
        </w:rPr>
        <w:tab/>
        <w:t>The FAA published the “Qualification, Service, and Use of Crewmembers and Aircraft Dispatchers” f</w:t>
      </w:r>
      <w:proofErr w:type="spellStart"/>
      <w:r>
        <w:rPr>
          <w:sz w:val="24"/>
          <w:szCs w:val="24"/>
          <w:lang w:val="pt-PT"/>
        </w:rPr>
        <w:t>inal</w:t>
      </w:r>
      <w:proofErr w:type="spellEnd"/>
      <w:r>
        <w:rPr>
          <w:sz w:val="24"/>
          <w:szCs w:val="24"/>
          <w:lang w:val="pt-PT"/>
        </w:rPr>
        <w:t xml:space="preserve"> </w:t>
      </w:r>
      <w:r>
        <w:rPr>
          <w:sz w:val="24"/>
          <w:szCs w:val="24"/>
        </w:rPr>
        <w:t>rule in November, 2013.</w:t>
      </w:r>
      <w:r>
        <w:rPr>
          <w:sz w:val="24"/>
          <w:szCs w:val="24"/>
          <w:vertAlign w:val="superscript"/>
        </w:rPr>
        <w:endnoteReference w:id="16"/>
      </w:r>
      <w:r>
        <w:rPr>
          <w:sz w:val="24"/>
          <w:szCs w:val="24"/>
        </w:rPr>
        <w:t xml:space="preserve"> This included new 14 CFR Part 121.423 which will require the stall training recommended by the NTSB. An advisory circular (AC) on stall and stick pusher training was published by the FAA in </w:t>
      </w:r>
      <w:proofErr w:type="gramStart"/>
      <w:r>
        <w:rPr>
          <w:sz w:val="24"/>
          <w:szCs w:val="24"/>
        </w:rPr>
        <w:t>August,  2012</w:t>
      </w:r>
      <w:proofErr w:type="gramEnd"/>
      <w:r>
        <w:rPr>
          <w:sz w:val="24"/>
          <w:szCs w:val="24"/>
        </w:rPr>
        <w:t>. 14 CFR Part 121 carriers have until March, 2019 to comply. Part 135 and 91K operators are not directly affected by these rules.</w:t>
      </w:r>
    </w:p>
    <w:p w14:paraId="016C7A01" w14:textId="77777777" w:rsidR="000E1F2E" w:rsidRDefault="000E1F2E">
      <w:pPr>
        <w:pStyle w:val="Body"/>
        <w:jc w:val="both"/>
        <w:rPr>
          <w:sz w:val="24"/>
          <w:szCs w:val="24"/>
        </w:rPr>
      </w:pPr>
    </w:p>
    <w:p w14:paraId="39912B2A" w14:textId="77777777" w:rsidR="000E1F2E" w:rsidRDefault="00E1617B">
      <w:pPr>
        <w:pStyle w:val="Body"/>
        <w:jc w:val="both"/>
        <w:rPr>
          <w:sz w:val="24"/>
          <w:szCs w:val="24"/>
        </w:rPr>
      </w:pPr>
      <w:r>
        <w:rPr>
          <w:sz w:val="24"/>
          <w:szCs w:val="24"/>
        </w:rPr>
        <w:tab/>
        <w:t xml:space="preserve">The main impetus for these changes was the finding by the NTSB that the </w:t>
      </w:r>
      <w:proofErr w:type="spellStart"/>
      <w:r>
        <w:rPr>
          <w:sz w:val="24"/>
          <w:szCs w:val="24"/>
        </w:rPr>
        <w:t>Colgan</w:t>
      </w:r>
      <w:proofErr w:type="spellEnd"/>
      <w:r>
        <w:rPr>
          <w:sz w:val="24"/>
          <w:szCs w:val="24"/>
        </w:rPr>
        <w:t xml:space="preserve"> captain reacted improperly to the stall warning, took actions that induced an actual stall, and then failed to properly react to the stick pusher activation. The report tied the FAA’s long-standing stall training policy to the captain’</w:t>
      </w:r>
      <w:r>
        <w:rPr>
          <w:sz w:val="24"/>
          <w:szCs w:val="24"/>
          <w:lang w:val="fr-FR"/>
        </w:rPr>
        <w:t xml:space="preserve">s actions. </w:t>
      </w:r>
      <w:r>
        <w:rPr>
          <w:sz w:val="24"/>
          <w:szCs w:val="24"/>
        </w:rPr>
        <w:t xml:space="preserve">The FAA had required pilots to </w:t>
      </w:r>
      <w:r>
        <w:rPr>
          <w:sz w:val="24"/>
          <w:szCs w:val="24"/>
          <w:u w:val="single"/>
        </w:rPr>
        <w:t>maintain altitude</w:t>
      </w:r>
      <w:r>
        <w:rPr>
          <w:sz w:val="24"/>
          <w:szCs w:val="24"/>
        </w:rPr>
        <w:t xml:space="preserve"> during “approach to stall“ recoveries during training. The captain appeared to place a priority on maintaining altitude instead of recovering from the stall. The new stall training requires airline pilots to perform recoveries from a full stall, rather than an approach to stall, which has been the standard since airline simulators were first introduced. Maintaining altitude is no longer a requirement. The full stall training will be instructor guided, not graded.</w:t>
      </w:r>
    </w:p>
    <w:p w14:paraId="1131C9F2" w14:textId="77777777" w:rsidR="000E1F2E" w:rsidRDefault="000E1F2E">
      <w:pPr>
        <w:pStyle w:val="Body"/>
        <w:jc w:val="both"/>
        <w:rPr>
          <w:sz w:val="24"/>
          <w:szCs w:val="24"/>
        </w:rPr>
      </w:pPr>
    </w:p>
    <w:p w14:paraId="3E1D0622" w14:textId="77777777" w:rsidR="000E1F2E" w:rsidRDefault="00E1617B">
      <w:pPr>
        <w:pStyle w:val="Body"/>
        <w:jc w:val="both"/>
        <w:rPr>
          <w:sz w:val="24"/>
          <w:szCs w:val="24"/>
        </w:rPr>
      </w:pPr>
      <w:r>
        <w:rPr>
          <w:sz w:val="24"/>
          <w:szCs w:val="24"/>
        </w:rPr>
        <w:tab/>
        <w:t xml:space="preserve">The </w:t>
      </w:r>
      <w:proofErr w:type="spellStart"/>
      <w:r>
        <w:rPr>
          <w:sz w:val="24"/>
          <w:szCs w:val="24"/>
        </w:rPr>
        <w:t>Colgan</w:t>
      </w:r>
      <w:proofErr w:type="spellEnd"/>
      <w:r>
        <w:rPr>
          <w:sz w:val="24"/>
          <w:szCs w:val="24"/>
        </w:rPr>
        <w:t xml:space="preserve"> crew was not alone among airline crews in experiencing an aerodynamic stall. There were at least four large turbojet accidents resulting from stalls between 1996 and 2008. Turboprop airliners experienced even more stall accidents during this period. Many of the turboprop events took place in icing conditions. These accidents are shown in table 4.</w:t>
      </w:r>
    </w:p>
    <w:p w14:paraId="7A81092F" w14:textId="77777777" w:rsidR="000E1F2E" w:rsidRDefault="000E1F2E">
      <w:pPr>
        <w:pStyle w:val="Body"/>
        <w:jc w:val="both"/>
        <w:rPr>
          <w:sz w:val="24"/>
          <w:szCs w:val="24"/>
        </w:rPr>
      </w:pPr>
    </w:p>
    <w:p w14:paraId="434A512D" w14:textId="77777777" w:rsidR="000E1F2E" w:rsidRDefault="000E1F2E">
      <w:pPr>
        <w:pStyle w:val="Body"/>
        <w:jc w:val="both"/>
        <w:rPr>
          <w:sz w:val="24"/>
          <w:szCs w:val="24"/>
        </w:rPr>
      </w:pPr>
    </w:p>
    <w:p w14:paraId="151903FE" w14:textId="77777777" w:rsidR="000E1F2E" w:rsidRDefault="00E1617B">
      <w:pPr>
        <w:pStyle w:val="Body"/>
        <w:jc w:val="center"/>
        <w:rPr>
          <w:b/>
          <w:bCs/>
          <w:sz w:val="24"/>
          <w:szCs w:val="24"/>
        </w:rPr>
      </w:pPr>
      <w:r>
        <w:rPr>
          <w:b/>
          <w:bCs/>
          <w:sz w:val="24"/>
          <w:szCs w:val="24"/>
        </w:rPr>
        <w:t>Table 4 - U.S. Stall-Related Air Carrier Accidents</w:t>
      </w:r>
    </w:p>
    <w:p w14:paraId="7BBAD62D" w14:textId="77777777" w:rsidR="000E1F2E" w:rsidRDefault="00E1617B">
      <w:pPr>
        <w:pStyle w:val="Body"/>
        <w:jc w:val="center"/>
        <w:rPr>
          <w:b/>
          <w:bCs/>
          <w:sz w:val="24"/>
          <w:szCs w:val="24"/>
        </w:rPr>
      </w:pPr>
      <w:r>
        <w:rPr>
          <w:b/>
          <w:bCs/>
          <w:sz w:val="24"/>
          <w:szCs w:val="24"/>
        </w:rPr>
        <w:t>1996 to 2008</w:t>
      </w:r>
    </w:p>
    <w:p w14:paraId="49B7714F" w14:textId="77777777" w:rsidR="000E1F2E" w:rsidRDefault="000E1F2E">
      <w:pPr>
        <w:pStyle w:val="Body"/>
        <w:jc w:val="center"/>
        <w:rPr>
          <w:b/>
          <w:bCs/>
          <w:sz w:val="24"/>
          <w:szCs w:val="24"/>
        </w:rPr>
      </w:pPr>
    </w:p>
    <w:tbl>
      <w:tblPr>
        <w:tblW w:w="869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339"/>
        <w:gridCol w:w="1991"/>
        <w:gridCol w:w="2097"/>
        <w:gridCol w:w="2269"/>
      </w:tblGrid>
      <w:tr w:rsidR="000E1F2E" w14:paraId="6B3D72F1" w14:textId="77777777">
        <w:trPr>
          <w:trHeight w:val="295"/>
          <w:tblHeader/>
        </w:trPr>
        <w:tc>
          <w:tcPr>
            <w:tcW w:w="2338" w:type="dxa"/>
            <w:tcBorders>
              <w:top w:val="nil"/>
              <w:left w:val="nil"/>
              <w:bottom w:val="single" w:sz="4" w:space="0" w:color="000000"/>
              <w:right w:val="nil"/>
            </w:tcBorders>
            <w:shd w:val="clear" w:color="auto" w:fill="auto"/>
            <w:tcMar>
              <w:top w:w="80" w:type="dxa"/>
              <w:left w:w="80" w:type="dxa"/>
              <w:bottom w:w="80" w:type="dxa"/>
              <w:right w:w="80" w:type="dxa"/>
            </w:tcMar>
          </w:tcPr>
          <w:p w14:paraId="1D82D25F" w14:textId="77777777" w:rsidR="000E1F2E" w:rsidRDefault="00E1617B">
            <w:pPr>
              <w:pStyle w:val="TableStyle1"/>
              <w:jc w:val="center"/>
            </w:pPr>
            <w:r>
              <w:rPr>
                <w:rFonts w:ascii="Times New Roman" w:hAnsi="Times New Roman"/>
                <w:i/>
                <w:iCs/>
                <w:sz w:val="24"/>
                <w:szCs w:val="24"/>
              </w:rPr>
              <w:t>Flight</w:t>
            </w:r>
          </w:p>
        </w:tc>
        <w:tc>
          <w:tcPr>
            <w:tcW w:w="1991" w:type="dxa"/>
            <w:tcBorders>
              <w:top w:val="nil"/>
              <w:left w:val="nil"/>
              <w:bottom w:val="single" w:sz="4" w:space="0" w:color="000000"/>
              <w:right w:val="nil"/>
            </w:tcBorders>
            <w:shd w:val="clear" w:color="auto" w:fill="auto"/>
            <w:tcMar>
              <w:top w:w="80" w:type="dxa"/>
              <w:left w:w="80" w:type="dxa"/>
              <w:bottom w:w="80" w:type="dxa"/>
              <w:right w:w="80" w:type="dxa"/>
            </w:tcMar>
          </w:tcPr>
          <w:p w14:paraId="3ECD44DA" w14:textId="77777777" w:rsidR="000E1F2E" w:rsidRDefault="00E1617B">
            <w:pPr>
              <w:pStyle w:val="TableStyle1"/>
              <w:jc w:val="center"/>
            </w:pPr>
            <w:r>
              <w:rPr>
                <w:rFonts w:ascii="Times New Roman" w:hAnsi="Times New Roman"/>
                <w:i/>
                <w:iCs/>
                <w:sz w:val="24"/>
                <w:szCs w:val="24"/>
              </w:rPr>
              <w:t>Airplane type</w:t>
            </w:r>
          </w:p>
        </w:tc>
        <w:tc>
          <w:tcPr>
            <w:tcW w:w="2097" w:type="dxa"/>
            <w:tcBorders>
              <w:top w:val="nil"/>
              <w:left w:val="nil"/>
              <w:bottom w:val="single" w:sz="4" w:space="0" w:color="000000"/>
              <w:right w:val="nil"/>
            </w:tcBorders>
            <w:shd w:val="clear" w:color="auto" w:fill="auto"/>
            <w:tcMar>
              <w:top w:w="80" w:type="dxa"/>
              <w:left w:w="80" w:type="dxa"/>
              <w:bottom w:w="80" w:type="dxa"/>
              <w:right w:w="80" w:type="dxa"/>
            </w:tcMar>
          </w:tcPr>
          <w:p w14:paraId="63D73DD4" w14:textId="77777777" w:rsidR="000E1F2E" w:rsidRDefault="00E1617B">
            <w:pPr>
              <w:pStyle w:val="TableStyle1"/>
              <w:jc w:val="center"/>
            </w:pPr>
            <w:r>
              <w:rPr>
                <w:rFonts w:ascii="Times New Roman" w:hAnsi="Times New Roman"/>
                <w:i/>
                <w:iCs/>
                <w:sz w:val="24"/>
                <w:szCs w:val="24"/>
              </w:rPr>
              <w:t>Date</w:t>
            </w:r>
          </w:p>
        </w:tc>
        <w:tc>
          <w:tcPr>
            <w:tcW w:w="2269" w:type="dxa"/>
            <w:tcBorders>
              <w:top w:val="nil"/>
              <w:left w:val="nil"/>
              <w:bottom w:val="single" w:sz="4" w:space="0" w:color="000000"/>
              <w:right w:val="nil"/>
            </w:tcBorders>
            <w:shd w:val="clear" w:color="auto" w:fill="auto"/>
            <w:tcMar>
              <w:top w:w="80" w:type="dxa"/>
              <w:left w:w="80" w:type="dxa"/>
              <w:bottom w:w="80" w:type="dxa"/>
              <w:right w:w="80" w:type="dxa"/>
            </w:tcMar>
          </w:tcPr>
          <w:p w14:paraId="536BD7AA" w14:textId="77777777" w:rsidR="000E1F2E" w:rsidRDefault="00E1617B">
            <w:pPr>
              <w:pStyle w:val="TableStyle1"/>
              <w:jc w:val="center"/>
            </w:pPr>
            <w:r>
              <w:rPr>
                <w:rFonts w:ascii="Times New Roman" w:hAnsi="Times New Roman"/>
                <w:i/>
                <w:iCs/>
                <w:sz w:val="24"/>
                <w:szCs w:val="24"/>
              </w:rPr>
              <w:t>NTSB event</w:t>
            </w:r>
          </w:p>
        </w:tc>
      </w:tr>
      <w:tr w:rsidR="000E1F2E" w14:paraId="2E9CDD3A" w14:textId="77777777">
        <w:tblPrEx>
          <w:shd w:val="clear" w:color="auto" w:fill="auto"/>
        </w:tblPrEx>
        <w:trPr>
          <w:trHeight w:val="279"/>
        </w:trPr>
        <w:tc>
          <w:tcPr>
            <w:tcW w:w="2338" w:type="dxa"/>
            <w:tcBorders>
              <w:top w:val="single" w:sz="4" w:space="0" w:color="000000"/>
              <w:left w:val="nil"/>
              <w:bottom w:val="nil"/>
              <w:right w:val="nil"/>
            </w:tcBorders>
            <w:shd w:val="clear" w:color="auto" w:fill="auto"/>
            <w:tcMar>
              <w:top w:w="80" w:type="dxa"/>
              <w:left w:w="80" w:type="dxa"/>
              <w:bottom w:w="80" w:type="dxa"/>
              <w:right w:w="80" w:type="dxa"/>
            </w:tcMar>
          </w:tcPr>
          <w:p w14:paraId="2F6F6DC1" w14:textId="77777777" w:rsidR="000E1F2E" w:rsidRDefault="00E1617B">
            <w:pPr>
              <w:pStyle w:val="TableStyle1"/>
              <w:jc w:val="center"/>
            </w:pPr>
            <w:r>
              <w:rPr>
                <w:rFonts w:ascii="Arial" w:hAnsi="Arial"/>
                <w:u w:val="single"/>
              </w:rPr>
              <w:t>Turbojets</w:t>
            </w:r>
          </w:p>
        </w:tc>
        <w:tc>
          <w:tcPr>
            <w:tcW w:w="1991" w:type="dxa"/>
            <w:tcBorders>
              <w:top w:val="single" w:sz="4" w:space="0" w:color="000000"/>
              <w:left w:val="nil"/>
              <w:bottom w:val="nil"/>
              <w:right w:val="nil"/>
            </w:tcBorders>
            <w:shd w:val="clear" w:color="auto" w:fill="auto"/>
            <w:tcMar>
              <w:top w:w="80" w:type="dxa"/>
              <w:left w:w="80" w:type="dxa"/>
              <w:bottom w:w="80" w:type="dxa"/>
              <w:right w:w="80" w:type="dxa"/>
            </w:tcMar>
          </w:tcPr>
          <w:p w14:paraId="60D255A9" w14:textId="77777777" w:rsidR="000E1F2E" w:rsidRDefault="000E1F2E"/>
        </w:tc>
        <w:tc>
          <w:tcPr>
            <w:tcW w:w="2097" w:type="dxa"/>
            <w:tcBorders>
              <w:top w:val="single" w:sz="4" w:space="0" w:color="000000"/>
              <w:left w:val="nil"/>
              <w:bottom w:val="nil"/>
              <w:right w:val="nil"/>
            </w:tcBorders>
            <w:shd w:val="clear" w:color="auto" w:fill="auto"/>
            <w:tcMar>
              <w:top w:w="80" w:type="dxa"/>
              <w:left w:w="80" w:type="dxa"/>
              <w:bottom w:w="80" w:type="dxa"/>
              <w:right w:w="80" w:type="dxa"/>
            </w:tcMar>
          </w:tcPr>
          <w:p w14:paraId="002D185A" w14:textId="77777777" w:rsidR="000E1F2E" w:rsidRDefault="000E1F2E"/>
        </w:tc>
        <w:tc>
          <w:tcPr>
            <w:tcW w:w="2269" w:type="dxa"/>
            <w:tcBorders>
              <w:top w:val="single" w:sz="4" w:space="0" w:color="000000"/>
              <w:left w:val="nil"/>
              <w:bottom w:val="nil"/>
              <w:right w:val="nil"/>
            </w:tcBorders>
            <w:shd w:val="clear" w:color="auto" w:fill="auto"/>
            <w:tcMar>
              <w:top w:w="80" w:type="dxa"/>
              <w:left w:w="80" w:type="dxa"/>
              <w:bottom w:w="80" w:type="dxa"/>
              <w:right w:w="80" w:type="dxa"/>
            </w:tcMar>
          </w:tcPr>
          <w:p w14:paraId="5D0BF402" w14:textId="77777777" w:rsidR="000E1F2E" w:rsidRDefault="000E1F2E"/>
        </w:tc>
      </w:tr>
      <w:tr w:rsidR="000E1F2E" w14:paraId="0CEF73AB" w14:textId="77777777">
        <w:tblPrEx>
          <w:shd w:val="clear" w:color="auto" w:fill="auto"/>
        </w:tblPrEx>
        <w:trPr>
          <w:trHeight w:val="279"/>
        </w:trPr>
        <w:tc>
          <w:tcPr>
            <w:tcW w:w="2338" w:type="dxa"/>
            <w:tcBorders>
              <w:top w:val="nil"/>
              <w:left w:val="nil"/>
              <w:bottom w:val="nil"/>
              <w:right w:val="nil"/>
            </w:tcBorders>
            <w:shd w:val="clear" w:color="auto" w:fill="auto"/>
            <w:tcMar>
              <w:top w:w="80" w:type="dxa"/>
              <w:left w:w="80" w:type="dxa"/>
              <w:bottom w:w="80" w:type="dxa"/>
              <w:right w:w="80" w:type="dxa"/>
            </w:tcMar>
          </w:tcPr>
          <w:p w14:paraId="52DFBC88" w14:textId="77777777" w:rsidR="000E1F2E" w:rsidRDefault="00E1617B">
            <w:pPr>
              <w:pStyle w:val="TableStyle1"/>
              <w:jc w:val="center"/>
            </w:pPr>
            <w:r>
              <w:rPr>
                <w:rFonts w:ascii="Arial" w:hAnsi="Arial"/>
              </w:rPr>
              <w:t>ABX N827AX</w:t>
            </w:r>
          </w:p>
        </w:tc>
        <w:tc>
          <w:tcPr>
            <w:tcW w:w="1991" w:type="dxa"/>
            <w:tcBorders>
              <w:top w:val="nil"/>
              <w:left w:val="nil"/>
              <w:bottom w:val="nil"/>
              <w:right w:val="nil"/>
            </w:tcBorders>
            <w:shd w:val="clear" w:color="auto" w:fill="auto"/>
            <w:tcMar>
              <w:top w:w="80" w:type="dxa"/>
              <w:left w:w="80" w:type="dxa"/>
              <w:bottom w:w="80" w:type="dxa"/>
              <w:right w:w="80" w:type="dxa"/>
            </w:tcMar>
          </w:tcPr>
          <w:p w14:paraId="6C508BAA" w14:textId="77777777" w:rsidR="000E1F2E" w:rsidRDefault="00E1617B">
            <w:pPr>
              <w:pStyle w:val="TableStyle2"/>
              <w:jc w:val="center"/>
            </w:pPr>
            <w:r>
              <w:rPr>
                <w:rFonts w:ascii="Arial" w:hAnsi="Arial"/>
              </w:rPr>
              <w:t>DC-8-63</w:t>
            </w:r>
          </w:p>
        </w:tc>
        <w:tc>
          <w:tcPr>
            <w:tcW w:w="2097" w:type="dxa"/>
            <w:tcBorders>
              <w:top w:val="nil"/>
              <w:left w:val="nil"/>
              <w:bottom w:val="nil"/>
              <w:right w:val="nil"/>
            </w:tcBorders>
            <w:shd w:val="clear" w:color="auto" w:fill="auto"/>
            <w:tcMar>
              <w:top w:w="80" w:type="dxa"/>
              <w:left w:w="80" w:type="dxa"/>
              <w:bottom w:w="80" w:type="dxa"/>
              <w:right w:w="80" w:type="dxa"/>
            </w:tcMar>
          </w:tcPr>
          <w:p w14:paraId="690AE5ED" w14:textId="77777777" w:rsidR="000E1F2E" w:rsidRDefault="00E1617B">
            <w:pPr>
              <w:pStyle w:val="TableStyle2"/>
              <w:jc w:val="center"/>
            </w:pPr>
            <w:r>
              <w:rPr>
                <w:rFonts w:ascii="Arial" w:hAnsi="Arial"/>
              </w:rPr>
              <w:t>12/22/1996</w:t>
            </w:r>
          </w:p>
        </w:tc>
        <w:tc>
          <w:tcPr>
            <w:tcW w:w="2269" w:type="dxa"/>
            <w:tcBorders>
              <w:top w:val="nil"/>
              <w:left w:val="nil"/>
              <w:bottom w:val="nil"/>
              <w:right w:val="nil"/>
            </w:tcBorders>
            <w:shd w:val="clear" w:color="auto" w:fill="auto"/>
            <w:tcMar>
              <w:top w:w="80" w:type="dxa"/>
              <w:left w:w="80" w:type="dxa"/>
              <w:bottom w:w="80" w:type="dxa"/>
              <w:right w:w="80" w:type="dxa"/>
            </w:tcMar>
          </w:tcPr>
          <w:p w14:paraId="6223A7F6" w14:textId="77777777" w:rsidR="000E1F2E" w:rsidRDefault="00E1617B">
            <w:pPr>
              <w:pStyle w:val="TableStyle2"/>
              <w:jc w:val="center"/>
            </w:pPr>
            <w:r>
              <w:rPr>
                <w:rFonts w:ascii="Arial" w:hAnsi="Arial"/>
              </w:rPr>
              <w:t>DCA97MA016</w:t>
            </w:r>
          </w:p>
        </w:tc>
      </w:tr>
      <w:tr w:rsidR="000E1F2E" w14:paraId="3D31B146" w14:textId="77777777">
        <w:tblPrEx>
          <w:shd w:val="clear" w:color="auto" w:fill="auto"/>
        </w:tblPrEx>
        <w:trPr>
          <w:trHeight w:val="279"/>
        </w:trPr>
        <w:tc>
          <w:tcPr>
            <w:tcW w:w="2338" w:type="dxa"/>
            <w:tcBorders>
              <w:top w:val="nil"/>
              <w:left w:val="nil"/>
              <w:bottom w:val="nil"/>
              <w:right w:val="nil"/>
            </w:tcBorders>
            <w:shd w:val="clear" w:color="auto" w:fill="auto"/>
            <w:tcMar>
              <w:top w:w="80" w:type="dxa"/>
              <w:left w:w="80" w:type="dxa"/>
              <w:bottom w:w="80" w:type="dxa"/>
              <w:right w:w="80" w:type="dxa"/>
            </w:tcMar>
          </w:tcPr>
          <w:p w14:paraId="59351ECB" w14:textId="77777777" w:rsidR="000E1F2E" w:rsidRDefault="00E1617B">
            <w:pPr>
              <w:pStyle w:val="TableStyle1"/>
              <w:jc w:val="center"/>
            </w:pPr>
            <w:r>
              <w:rPr>
                <w:rFonts w:ascii="Arial" w:hAnsi="Arial"/>
              </w:rPr>
              <w:t>AA 903</w:t>
            </w:r>
          </w:p>
        </w:tc>
        <w:tc>
          <w:tcPr>
            <w:tcW w:w="1991" w:type="dxa"/>
            <w:tcBorders>
              <w:top w:val="nil"/>
              <w:left w:val="nil"/>
              <w:bottom w:val="nil"/>
              <w:right w:val="nil"/>
            </w:tcBorders>
            <w:shd w:val="clear" w:color="auto" w:fill="auto"/>
            <w:tcMar>
              <w:top w:w="80" w:type="dxa"/>
              <w:left w:w="80" w:type="dxa"/>
              <w:bottom w:w="80" w:type="dxa"/>
              <w:right w:w="80" w:type="dxa"/>
            </w:tcMar>
          </w:tcPr>
          <w:p w14:paraId="65EB2A02" w14:textId="77777777" w:rsidR="000E1F2E" w:rsidRDefault="00E1617B">
            <w:pPr>
              <w:pStyle w:val="TableStyle2"/>
              <w:jc w:val="center"/>
            </w:pPr>
            <w:r>
              <w:rPr>
                <w:rFonts w:ascii="Arial" w:hAnsi="Arial"/>
              </w:rPr>
              <w:t>A300</w:t>
            </w:r>
          </w:p>
        </w:tc>
        <w:tc>
          <w:tcPr>
            <w:tcW w:w="2097" w:type="dxa"/>
            <w:tcBorders>
              <w:top w:val="nil"/>
              <w:left w:val="nil"/>
              <w:bottom w:val="nil"/>
              <w:right w:val="nil"/>
            </w:tcBorders>
            <w:shd w:val="clear" w:color="auto" w:fill="auto"/>
            <w:tcMar>
              <w:top w:w="80" w:type="dxa"/>
              <w:left w:w="80" w:type="dxa"/>
              <w:bottom w:w="80" w:type="dxa"/>
              <w:right w:w="80" w:type="dxa"/>
            </w:tcMar>
          </w:tcPr>
          <w:p w14:paraId="09B78DE2" w14:textId="77777777" w:rsidR="000E1F2E" w:rsidRDefault="00E1617B">
            <w:pPr>
              <w:pStyle w:val="TableStyle2"/>
              <w:jc w:val="center"/>
            </w:pPr>
            <w:r>
              <w:rPr>
                <w:rFonts w:ascii="Arial" w:hAnsi="Arial"/>
              </w:rPr>
              <w:t>5/12/1997</w:t>
            </w:r>
          </w:p>
        </w:tc>
        <w:tc>
          <w:tcPr>
            <w:tcW w:w="2269" w:type="dxa"/>
            <w:tcBorders>
              <w:top w:val="nil"/>
              <w:left w:val="nil"/>
              <w:bottom w:val="nil"/>
              <w:right w:val="nil"/>
            </w:tcBorders>
            <w:shd w:val="clear" w:color="auto" w:fill="auto"/>
            <w:tcMar>
              <w:top w:w="80" w:type="dxa"/>
              <w:left w:w="80" w:type="dxa"/>
              <w:bottom w:w="80" w:type="dxa"/>
              <w:right w:w="80" w:type="dxa"/>
            </w:tcMar>
          </w:tcPr>
          <w:p w14:paraId="61CAD3F1" w14:textId="77777777" w:rsidR="000E1F2E" w:rsidRDefault="00E1617B">
            <w:pPr>
              <w:pStyle w:val="TableStyle2"/>
              <w:jc w:val="center"/>
            </w:pPr>
            <w:r>
              <w:rPr>
                <w:rFonts w:ascii="Arial" w:hAnsi="Arial"/>
              </w:rPr>
              <w:t>DCA97MA049</w:t>
            </w:r>
          </w:p>
        </w:tc>
      </w:tr>
      <w:tr w:rsidR="000E1F2E" w14:paraId="453EE401" w14:textId="77777777">
        <w:tblPrEx>
          <w:shd w:val="clear" w:color="auto" w:fill="auto"/>
        </w:tblPrEx>
        <w:trPr>
          <w:trHeight w:val="279"/>
        </w:trPr>
        <w:tc>
          <w:tcPr>
            <w:tcW w:w="2338" w:type="dxa"/>
            <w:tcBorders>
              <w:top w:val="nil"/>
              <w:left w:val="nil"/>
              <w:bottom w:val="nil"/>
              <w:right w:val="nil"/>
            </w:tcBorders>
            <w:shd w:val="clear" w:color="auto" w:fill="auto"/>
            <w:tcMar>
              <w:top w:w="80" w:type="dxa"/>
              <w:left w:w="80" w:type="dxa"/>
              <w:bottom w:w="80" w:type="dxa"/>
              <w:right w:w="80" w:type="dxa"/>
            </w:tcMar>
          </w:tcPr>
          <w:p w14:paraId="366A9369" w14:textId="77777777" w:rsidR="000E1F2E" w:rsidRDefault="00E1617B">
            <w:pPr>
              <w:pStyle w:val="TableStyle1"/>
              <w:jc w:val="center"/>
            </w:pPr>
            <w:r>
              <w:rPr>
                <w:rFonts w:ascii="Arial" w:hAnsi="Arial"/>
              </w:rPr>
              <w:t>Pinnacle 3701</w:t>
            </w:r>
          </w:p>
        </w:tc>
        <w:tc>
          <w:tcPr>
            <w:tcW w:w="1991" w:type="dxa"/>
            <w:tcBorders>
              <w:top w:val="nil"/>
              <w:left w:val="nil"/>
              <w:bottom w:val="nil"/>
              <w:right w:val="nil"/>
            </w:tcBorders>
            <w:shd w:val="clear" w:color="auto" w:fill="auto"/>
            <w:tcMar>
              <w:top w:w="80" w:type="dxa"/>
              <w:left w:w="80" w:type="dxa"/>
              <w:bottom w:w="80" w:type="dxa"/>
              <w:right w:w="80" w:type="dxa"/>
            </w:tcMar>
          </w:tcPr>
          <w:p w14:paraId="31A5F9D6" w14:textId="77777777" w:rsidR="000E1F2E" w:rsidRDefault="00E1617B">
            <w:pPr>
              <w:pStyle w:val="TableStyle2"/>
              <w:jc w:val="center"/>
            </w:pPr>
            <w:r>
              <w:rPr>
                <w:rFonts w:ascii="Arial" w:hAnsi="Arial"/>
              </w:rPr>
              <w:t>CL-600</w:t>
            </w:r>
          </w:p>
        </w:tc>
        <w:tc>
          <w:tcPr>
            <w:tcW w:w="2097" w:type="dxa"/>
            <w:tcBorders>
              <w:top w:val="nil"/>
              <w:left w:val="nil"/>
              <w:bottom w:val="nil"/>
              <w:right w:val="nil"/>
            </w:tcBorders>
            <w:shd w:val="clear" w:color="auto" w:fill="auto"/>
            <w:tcMar>
              <w:top w:w="80" w:type="dxa"/>
              <w:left w:w="80" w:type="dxa"/>
              <w:bottom w:w="80" w:type="dxa"/>
              <w:right w:w="80" w:type="dxa"/>
            </w:tcMar>
          </w:tcPr>
          <w:p w14:paraId="476E66A6" w14:textId="77777777" w:rsidR="000E1F2E" w:rsidRDefault="00E1617B">
            <w:pPr>
              <w:pStyle w:val="TableStyle2"/>
              <w:jc w:val="center"/>
            </w:pPr>
            <w:r>
              <w:rPr>
                <w:rFonts w:ascii="Arial" w:hAnsi="Arial"/>
              </w:rPr>
              <w:t>10/14/2004</w:t>
            </w:r>
          </w:p>
        </w:tc>
        <w:tc>
          <w:tcPr>
            <w:tcW w:w="2269" w:type="dxa"/>
            <w:tcBorders>
              <w:top w:val="nil"/>
              <w:left w:val="nil"/>
              <w:bottom w:val="nil"/>
              <w:right w:val="nil"/>
            </w:tcBorders>
            <w:shd w:val="clear" w:color="auto" w:fill="auto"/>
            <w:tcMar>
              <w:top w:w="80" w:type="dxa"/>
              <w:left w:w="80" w:type="dxa"/>
              <w:bottom w:w="80" w:type="dxa"/>
              <w:right w:w="80" w:type="dxa"/>
            </w:tcMar>
          </w:tcPr>
          <w:p w14:paraId="7164DB53" w14:textId="77777777" w:rsidR="000E1F2E" w:rsidRDefault="00E1617B">
            <w:pPr>
              <w:pStyle w:val="TableStyle2"/>
              <w:jc w:val="center"/>
            </w:pPr>
            <w:r>
              <w:rPr>
                <w:rFonts w:ascii="Arial" w:hAnsi="Arial"/>
              </w:rPr>
              <w:t>DCA05MA003</w:t>
            </w:r>
          </w:p>
        </w:tc>
      </w:tr>
      <w:tr w:rsidR="000E1F2E" w14:paraId="3A837A23" w14:textId="77777777">
        <w:tblPrEx>
          <w:shd w:val="clear" w:color="auto" w:fill="auto"/>
        </w:tblPrEx>
        <w:trPr>
          <w:trHeight w:val="279"/>
        </w:trPr>
        <w:tc>
          <w:tcPr>
            <w:tcW w:w="2338" w:type="dxa"/>
            <w:tcBorders>
              <w:top w:val="nil"/>
              <w:left w:val="nil"/>
              <w:bottom w:val="nil"/>
              <w:right w:val="nil"/>
            </w:tcBorders>
            <w:shd w:val="clear" w:color="auto" w:fill="auto"/>
            <w:tcMar>
              <w:top w:w="80" w:type="dxa"/>
              <w:left w:w="80" w:type="dxa"/>
              <w:bottom w:w="80" w:type="dxa"/>
              <w:right w:w="80" w:type="dxa"/>
            </w:tcMar>
          </w:tcPr>
          <w:p w14:paraId="18BDE716" w14:textId="77777777" w:rsidR="000E1F2E" w:rsidRDefault="00E1617B">
            <w:pPr>
              <w:pStyle w:val="TableStyle1"/>
              <w:jc w:val="center"/>
            </w:pPr>
            <w:proofErr w:type="spellStart"/>
            <w:r>
              <w:rPr>
                <w:rFonts w:ascii="Arial" w:hAnsi="Arial"/>
              </w:rPr>
              <w:t>Fedex</w:t>
            </w:r>
            <w:proofErr w:type="spellEnd"/>
            <w:r>
              <w:rPr>
                <w:rFonts w:ascii="Arial" w:hAnsi="Arial"/>
              </w:rPr>
              <w:t xml:space="preserve"> 764</w:t>
            </w:r>
          </w:p>
        </w:tc>
        <w:tc>
          <w:tcPr>
            <w:tcW w:w="1991" w:type="dxa"/>
            <w:tcBorders>
              <w:top w:val="nil"/>
              <w:left w:val="nil"/>
              <w:bottom w:val="nil"/>
              <w:right w:val="nil"/>
            </w:tcBorders>
            <w:shd w:val="clear" w:color="auto" w:fill="auto"/>
            <w:tcMar>
              <w:top w:w="80" w:type="dxa"/>
              <w:left w:w="80" w:type="dxa"/>
              <w:bottom w:w="80" w:type="dxa"/>
              <w:right w:w="80" w:type="dxa"/>
            </w:tcMar>
          </w:tcPr>
          <w:p w14:paraId="4856FFF9" w14:textId="77777777" w:rsidR="000E1F2E" w:rsidRDefault="00E1617B">
            <w:pPr>
              <w:pStyle w:val="TableStyle2"/>
              <w:jc w:val="center"/>
            </w:pPr>
            <w:r>
              <w:rPr>
                <w:rFonts w:ascii="Arial" w:hAnsi="Arial"/>
              </w:rPr>
              <w:t>MD-10</w:t>
            </w:r>
          </w:p>
        </w:tc>
        <w:tc>
          <w:tcPr>
            <w:tcW w:w="2097" w:type="dxa"/>
            <w:tcBorders>
              <w:top w:val="nil"/>
              <w:left w:val="nil"/>
              <w:bottom w:val="nil"/>
              <w:right w:val="nil"/>
            </w:tcBorders>
            <w:shd w:val="clear" w:color="auto" w:fill="auto"/>
            <w:tcMar>
              <w:top w:w="80" w:type="dxa"/>
              <w:left w:w="80" w:type="dxa"/>
              <w:bottom w:w="80" w:type="dxa"/>
              <w:right w:w="80" w:type="dxa"/>
            </w:tcMar>
          </w:tcPr>
          <w:p w14:paraId="4CA6CA26" w14:textId="77777777" w:rsidR="000E1F2E" w:rsidRDefault="00E1617B">
            <w:pPr>
              <w:pStyle w:val="TableStyle2"/>
              <w:jc w:val="center"/>
            </w:pPr>
            <w:r>
              <w:rPr>
                <w:rFonts w:ascii="Arial" w:hAnsi="Arial"/>
              </w:rPr>
              <w:t>6/14/2008</w:t>
            </w:r>
          </w:p>
        </w:tc>
        <w:tc>
          <w:tcPr>
            <w:tcW w:w="2269" w:type="dxa"/>
            <w:tcBorders>
              <w:top w:val="nil"/>
              <w:left w:val="nil"/>
              <w:bottom w:val="nil"/>
              <w:right w:val="nil"/>
            </w:tcBorders>
            <w:shd w:val="clear" w:color="auto" w:fill="auto"/>
            <w:tcMar>
              <w:top w:w="80" w:type="dxa"/>
              <w:left w:w="80" w:type="dxa"/>
              <w:bottom w:w="80" w:type="dxa"/>
              <w:right w:w="80" w:type="dxa"/>
            </w:tcMar>
          </w:tcPr>
          <w:p w14:paraId="35A5F3B7" w14:textId="77777777" w:rsidR="000E1F2E" w:rsidRDefault="00E1617B">
            <w:pPr>
              <w:pStyle w:val="TableStyle2"/>
              <w:jc w:val="center"/>
            </w:pPr>
            <w:r>
              <w:rPr>
                <w:rFonts w:ascii="Arial" w:hAnsi="Arial"/>
              </w:rPr>
              <w:t>DCA08FA075</w:t>
            </w:r>
          </w:p>
        </w:tc>
      </w:tr>
      <w:tr w:rsidR="000E1F2E" w14:paraId="1E6719DF" w14:textId="77777777">
        <w:tblPrEx>
          <w:shd w:val="clear" w:color="auto" w:fill="auto"/>
        </w:tblPrEx>
        <w:trPr>
          <w:trHeight w:val="279"/>
        </w:trPr>
        <w:tc>
          <w:tcPr>
            <w:tcW w:w="2338" w:type="dxa"/>
            <w:tcBorders>
              <w:top w:val="nil"/>
              <w:left w:val="nil"/>
              <w:bottom w:val="nil"/>
              <w:right w:val="nil"/>
            </w:tcBorders>
            <w:shd w:val="clear" w:color="auto" w:fill="auto"/>
            <w:tcMar>
              <w:top w:w="80" w:type="dxa"/>
              <w:left w:w="80" w:type="dxa"/>
              <w:bottom w:w="80" w:type="dxa"/>
              <w:right w:w="80" w:type="dxa"/>
            </w:tcMar>
          </w:tcPr>
          <w:p w14:paraId="60F17591" w14:textId="77777777" w:rsidR="000E1F2E" w:rsidRDefault="00E1617B">
            <w:pPr>
              <w:pStyle w:val="TableStyle1"/>
              <w:jc w:val="center"/>
            </w:pPr>
            <w:r>
              <w:rPr>
                <w:rFonts w:ascii="Arial" w:hAnsi="Arial"/>
                <w:u w:val="single"/>
              </w:rPr>
              <w:t>Turboprops</w:t>
            </w:r>
          </w:p>
        </w:tc>
        <w:tc>
          <w:tcPr>
            <w:tcW w:w="1991" w:type="dxa"/>
            <w:tcBorders>
              <w:top w:val="nil"/>
              <w:left w:val="nil"/>
              <w:bottom w:val="nil"/>
              <w:right w:val="nil"/>
            </w:tcBorders>
            <w:shd w:val="clear" w:color="auto" w:fill="auto"/>
            <w:tcMar>
              <w:top w:w="80" w:type="dxa"/>
              <w:left w:w="80" w:type="dxa"/>
              <w:bottom w:w="80" w:type="dxa"/>
              <w:right w:w="80" w:type="dxa"/>
            </w:tcMar>
          </w:tcPr>
          <w:p w14:paraId="2A382840" w14:textId="77777777" w:rsidR="000E1F2E" w:rsidRDefault="000E1F2E"/>
        </w:tc>
        <w:tc>
          <w:tcPr>
            <w:tcW w:w="2097" w:type="dxa"/>
            <w:tcBorders>
              <w:top w:val="nil"/>
              <w:left w:val="nil"/>
              <w:bottom w:val="nil"/>
              <w:right w:val="nil"/>
            </w:tcBorders>
            <w:shd w:val="clear" w:color="auto" w:fill="auto"/>
            <w:tcMar>
              <w:top w:w="80" w:type="dxa"/>
              <w:left w:w="80" w:type="dxa"/>
              <w:bottom w:w="80" w:type="dxa"/>
              <w:right w:w="80" w:type="dxa"/>
            </w:tcMar>
          </w:tcPr>
          <w:p w14:paraId="476CDA4B" w14:textId="77777777" w:rsidR="000E1F2E" w:rsidRDefault="000E1F2E"/>
        </w:tc>
        <w:tc>
          <w:tcPr>
            <w:tcW w:w="2269" w:type="dxa"/>
            <w:tcBorders>
              <w:top w:val="nil"/>
              <w:left w:val="nil"/>
              <w:bottom w:val="nil"/>
              <w:right w:val="nil"/>
            </w:tcBorders>
            <w:shd w:val="clear" w:color="auto" w:fill="auto"/>
            <w:tcMar>
              <w:top w:w="80" w:type="dxa"/>
              <w:left w:w="80" w:type="dxa"/>
              <w:bottom w:w="80" w:type="dxa"/>
              <w:right w:w="80" w:type="dxa"/>
            </w:tcMar>
          </w:tcPr>
          <w:p w14:paraId="35FF4E2E" w14:textId="77777777" w:rsidR="000E1F2E" w:rsidRDefault="000E1F2E"/>
        </w:tc>
      </w:tr>
      <w:tr w:rsidR="000E1F2E" w14:paraId="0F16F5D9" w14:textId="77777777">
        <w:tblPrEx>
          <w:shd w:val="clear" w:color="auto" w:fill="auto"/>
        </w:tblPrEx>
        <w:trPr>
          <w:trHeight w:val="279"/>
        </w:trPr>
        <w:tc>
          <w:tcPr>
            <w:tcW w:w="2338" w:type="dxa"/>
            <w:tcBorders>
              <w:top w:val="nil"/>
              <w:left w:val="nil"/>
              <w:bottom w:val="nil"/>
              <w:right w:val="nil"/>
            </w:tcBorders>
            <w:shd w:val="clear" w:color="auto" w:fill="auto"/>
            <w:tcMar>
              <w:top w:w="80" w:type="dxa"/>
              <w:left w:w="80" w:type="dxa"/>
              <w:bottom w:w="80" w:type="dxa"/>
              <w:right w:w="80" w:type="dxa"/>
            </w:tcMar>
          </w:tcPr>
          <w:p w14:paraId="74584DB6" w14:textId="77777777" w:rsidR="000E1F2E" w:rsidRDefault="00E1617B">
            <w:pPr>
              <w:pStyle w:val="TableStyle1"/>
              <w:jc w:val="center"/>
            </w:pPr>
            <w:proofErr w:type="spellStart"/>
            <w:r>
              <w:rPr>
                <w:rFonts w:ascii="Arial" w:hAnsi="Arial"/>
              </w:rPr>
              <w:lastRenderedPageBreak/>
              <w:t>Ameriflight</w:t>
            </w:r>
            <w:proofErr w:type="spellEnd"/>
            <w:r>
              <w:rPr>
                <w:rFonts w:ascii="Arial" w:hAnsi="Arial"/>
              </w:rPr>
              <w:t xml:space="preserve"> 262</w:t>
            </w:r>
          </w:p>
        </w:tc>
        <w:tc>
          <w:tcPr>
            <w:tcW w:w="1991" w:type="dxa"/>
            <w:tcBorders>
              <w:top w:val="nil"/>
              <w:left w:val="nil"/>
              <w:bottom w:val="nil"/>
              <w:right w:val="nil"/>
            </w:tcBorders>
            <w:shd w:val="clear" w:color="auto" w:fill="auto"/>
            <w:tcMar>
              <w:top w:w="80" w:type="dxa"/>
              <w:left w:w="80" w:type="dxa"/>
              <w:bottom w:w="80" w:type="dxa"/>
              <w:right w:w="80" w:type="dxa"/>
            </w:tcMar>
          </w:tcPr>
          <w:p w14:paraId="7AAA26D1" w14:textId="77777777" w:rsidR="000E1F2E" w:rsidRDefault="00E1617B">
            <w:pPr>
              <w:pStyle w:val="TableStyle2"/>
              <w:jc w:val="center"/>
            </w:pPr>
            <w:r>
              <w:rPr>
                <w:rFonts w:ascii="Arial" w:hAnsi="Arial"/>
              </w:rPr>
              <w:t>BE-1900</w:t>
            </w:r>
          </w:p>
        </w:tc>
        <w:tc>
          <w:tcPr>
            <w:tcW w:w="2097" w:type="dxa"/>
            <w:tcBorders>
              <w:top w:val="nil"/>
              <w:left w:val="nil"/>
              <w:bottom w:val="nil"/>
              <w:right w:val="nil"/>
            </w:tcBorders>
            <w:shd w:val="clear" w:color="auto" w:fill="auto"/>
            <w:tcMar>
              <w:top w:w="80" w:type="dxa"/>
              <w:left w:w="80" w:type="dxa"/>
              <w:bottom w:w="80" w:type="dxa"/>
              <w:right w:w="80" w:type="dxa"/>
            </w:tcMar>
          </w:tcPr>
          <w:p w14:paraId="6CA008C0" w14:textId="77777777" w:rsidR="000E1F2E" w:rsidRDefault="00E1617B">
            <w:pPr>
              <w:pStyle w:val="TableStyle2"/>
              <w:jc w:val="center"/>
            </w:pPr>
            <w:r>
              <w:rPr>
                <w:rFonts w:ascii="Arial" w:hAnsi="Arial"/>
              </w:rPr>
              <w:t>8/13/1997</w:t>
            </w:r>
          </w:p>
        </w:tc>
        <w:tc>
          <w:tcPr>
            <w:tcW w:w="2269" w:type="dxa"/>
            <w:tcBorders>
              <w:top w:val="nil"/>
              <w:left w:val="nil"/>
              <w:bottom w:val="nil"/>
              <w:right w:val="nil"/>
            </w:tcBorders>
            <w:shd w:val="clear" w:color="auto" w:fill="auto"/>
            <w:tcMar>
              <w:top w:w="80" w:type="dxa"/>
              <w:left w:w="80" w:type="dxa"/>
              <w:bottom w:w="80" w:type="dxa"/>
              <w:right w:w="80" w:type="dxa"/>
            </w:tcMar>
          </w:tcPr>
          <w:p w14:paraId="527C8C15" w14:textId="77777777" w:rsidR="000E1F2E" w:rsidRDefault="00E1617B">
            <w:pPr>
              <w:pStyle w:val="TableStyle2"/>
              <w:jc w:val="center"/>
            </w:pPr>
            <w:r>
              <w:rPr>
                <w:rFonts w:ascii="Arial" w:hAnsi="Arial"/>
              </w:rPr>
              <w:t>SEA97FA188</w:t>
            </w:r>
          </w:p>
        </w:tc>
      </w:tr>
      <w:tr w:rsidR="000E1F2E" w14:paraId="3D23AC0F" w14:textId="77777777">
        <w:tblPrEx>
          <w:shd w:val="clear" w:color="auto" w:fill="auto"/>
        </w:tblPrEx>
        <w:trPr>
          <w:trHeight w:val="433"/>
        </w:trPr>
        <w:tc>
          <w:tcPr>
            <w:tcW w:w="2338" w:type="dxa"/>
            <w:tcBorders>
              <w:top w:val="nil"/>
              <w:left w:val="nil"/>
              <w:bottom w:val="nil"/>
              <w:right w:val="nil"/>
            </w:tcBorders>
            <w:shd w:val="clear" w:color="auto" w:fill="auto"/>
            <w:tcMar>
              <w:top w:w="80" w:type="dxa"/>
              <w:left w:w="80" w:type="dxa"/>
              <w:bottom w:w="80" w:type="dxa"/>
              <w:right w:w="80" w:type="dxa"/>
            </w:tcMar>
          </w:tcPr>
          <w:p w14:paraId="7EE22EBD" w14:textId="77777777" w:rsidR="000E1F2E" w:rsidRDefault="00E1617B">
            <w:pPr>
              <w:pStyle w:val="TableStyle1"/>
              <w:jc w:val="center"/>
            </w:pPr>
            <w:r>
              <w:rPr>
                <w:rFonts w:ascii="Arial" w:hAnsi="Arial"/>
              </w:rPr>
              <w:t>Scenic Airlines N12022</w:t>
            </w:r>
          </w:p>
        </w:tc>
        <w:tc>
          <w:tcPr>
            <w:tcW w:w="1991" w:type="dxa"/>
            <w:tcBorders>
              <w:top w:val="nil"/>
              <w:left w:val="nil"/>
              <w:bottom w:val="nil"/>
              <w:right w:val="nil"/>
            </w:tcBorders>
            <w:shd w:val="clear" w:color="auto" w:fill="auto"/>
            <w:tcMar>
              <w:top w:w="80" w:type="dxa"/>
              <w:left w:w="80" w:type="dxa"/>
              <w:bottom w:w="80" w:type="dxa"/>
              <w:right w:w="80" w:type="dxa"/>
            </w:tcMar>
          </w:tcPr>
          <w:p w14:paraId="46280F9B" w14:textId="77777777" w:rsidR="000E1F2E" w:rsidRDefault="00E1617B">
            <w:pPr>
              <w:pStyle w:val="TableStyle2"/>
              <w:jc w:val="center"/>
            </w:pPr>
            <w:r>
              <w:rPr>
                <w:rFonts w:ascii="Arial" w:hAnsi="Arial"/>
              </w:rPr>
              <w:t>Cessna 208</w:t>
            </w:r>
          </w:p>
        </w:tc>
        <w:tc>
          <w:tcPr>
            <w:tcW w:w="2097" w:type="dxa"/>
            <w:tcBorders>
              <w:top w:val="nil"/>
              <w:left w:val="nil"/>
              <w:bottom w:val="nil"/>
              <w:right w:val="nil"/>
            </w:tcBorders>
            <w:shd w:val="clear" w:color="auto" w:fill="auto"/>
            <w:tcMar>
              <w:top w:w="80" w:type="dxa"/>
              <w:left w:w="80" w:type="dxa"/>
              <w:bottom w:w="80" w:type="dxa"/>
              <w:right w:w="80" w:type="dxa"/>
            </w:tcMar>
          </w:tcPr>
          <w:p w14:paraId="09EB8C65" w14:textId="77777777" w:rsidR="000E1F2E" w:rsidRDefault="00E1617B">
            <w:pPr>
              <w:pStyle w:val="TableStyle2"/>
              <w:jc w:val="center"/>
            </w:pPr>
            <w:r>
              <w:rPr>
                <w:rFonts w:ascii="Arial" w:hAnsi="Arial"/>
              </w:rPr>
              <w:t>10/08/1997</w:t>
            </w:r>
          </w:p>
        </w:tc>
        <w:tc>
          <w:tcPr>
            <w:tcW w:w="2269" w:type="dxa"/>
            <w:tcBorders>
              <w:top w:val="nil"/>
              <w:left w:val="nil"/>
              <w:bottom w:val="nil"/>
              <w:right w:val="nil"/>
            </w:tcBorders>
            <w:shd w:val="clear" w:color="auto" w:fill="auto"/>
            <w:tcMar>
              <w:top w:w="80" w:type="dxa"/>
              <w:left w:w="80" w:type="dxa"/>
              <w:bottom w:w="80" w:type="dxa"/>
              <w:right w:w="80" w:type="dxa"/>
            </w:tcMar>
          </w:tcPr>
          <w:p w14:paraId="2C75C56D" w14:textId="77777777" w:rsidR="000E1F2E" w:rsidRDefault="00E1617B">
            <w:pPr>
              <w:pStyle w:val="TableStyle2"/>
              <w:jc w:val="center"/>
            </w:pPr>
            <w:r>
              <w:rPr>
                <w:rFonts w:ascii="Arial" w:hAnsi="Arial"/>
                <w:shd w:val="clear" w:color="auto" w:fill="FFFFFF"/>
              </w:rPr>
              <w:t>DCA98MA002</w:t>
            </w:r>
          </w:p>
        </w:tc>
      </w:tr>
      <w:tr w:rsidR="000E1F2E" w14:paraId="08404625" w14:textId="77777777">
        <w:tblPrEx>
          <w:shd w:val="clear" w:color="auto" w:fill="auto"/>
        </w:tblPrEx>
        <w:trPr>
          <w:trHeight w:val="279"/>
        </w:trPr>
        <w:tc>
          <w:tcPr>
            <w:tcW w:w="2338" w:type="dxa"/>
            <w:tcBorders>
              <w:top w:val="nil"/>
              <w:left w:val="nil"/>
              <w:bottom w:val="nil"/>
              <w:right w:val="nil"/>
            </w:tcBorders>
            <w:shd w:val="clear" w:color="auto" w:fill="auto"/>
            <w:tcMar>
              <w:top w:w="80" w:type="dxa"/>
              <w:left w:w="80" w:type="dxa"/>
              <w:bottom w:w="80" w:type="dxa"/>
              <w:right w:w="80" w:type="dxa"/>
            </w:tcMar>
          </w:tcPr>
          <w:p w14:paraId="1C8C7D8A" w14:textId="77777777" w:rsidR="000E1F2E" w:rsidRDefault="00E1617B">
            <w:pPr>
              <w:pStyle w:val="TableStyle1"/>
              <w:jc w:val="center"/>
            </w:pPr>
            <w:proofErr w:type="spellStart"/>
            <w:r>
              <w:rPr>
                <w:rFonts w:ascii="Arial" w:hAnsi="Arial"/>
              </w:rPr>
              <w:t>Hageland</w:t>
            </w:r>
            <w:proofErr w:type="spellEnd"/>
            <w:r>
              <w:rPr>
                <w:rFonts w:ascii="Arial" w:hAnsi="Arial"/>
              </w:rPr>
              <w:t xml:space="preserve"> 500</w:t>
            </w:r>
          </w:p>
        </w:tc>
        <w:tc>
          <w:tcPr>
            <w:tcW w:w="1991" w:type="dxa"/>
            <w:tcBorders>
              <w:top w:val="nil"/>
              <w:left w:val="nil"/>
              <w:bottom w:val="nil"/>
              <w:right w:val="nil"/>
            </w:tcBorders>
            <w:shd w:val="clear" w:color="auto" w:fill="auto"/>
            <w:tcMar>
              <w:top w:w="80" w:type="dxa"/>
              <w:left w:w="80" w:type="dxa"/>
              <w:bottom w:w="80" w:type="dxa"/>
              <w:right w:w="80" w:type="dxa"/>
            </w:tcMar>
          </w:tcPr>
          <w:p w14:paraId="54B8D28D" w14:textId="77777777" w:rsidR="000E1F2E" w:rsidRDefault="00E1617B">
            <w:pPr>
              <w:pStyle w:val="TableStyle2"/>
              <w:jc w:val="center"/>
            </w:pPr>
            <w:r>
              <w:rPr>
                <w:rFonts w:ascii="Arial" w:hAnsi="Arial"/>
              </w:rPr>
              <w:t>Cessna 208</w:t>
            </w:r>
          </w:p>
        </w:tc>
        <w:tc>
          <w:tcPr>
            <w:tcW w:w="2097" w:type="dxa"/>
            <w:tcBorders>
              <w:top w:val="nil"/>
              <w:left w:val="nil"/>
              <w:bottom w:val="nil"/>
              <w:right w:val="nil"/>
            </w:tcBorders>
            <w:shd w:val="clear" w:color="auto" w:fill="auto"/>
            <w:tcMar>
              <w:top w:w="80" w:type="dxa"/>
              <w:left w:w="80" w:type="dxa"/>
              <w:bottom w:w="80" w:type="dxa"/>
              <w:right w:w="80" w:type="dxa"/>
            </w:tcMar>
          </w:tcPr>
          <w:p w14:paraId="517246A2" w14:textId="77777777" w:rsidR="000E1F2E" w:rsidRDefault="00E1617B">
            <w:pPr>
              <w:pStyle w:val="TableStyle2"/>
              <w:jc w:val="center"/>
            </w:pPr>
            <w:r>
              <w:rPr>
                <w:rFonts w:ascii="Arial" w:hAnsi="Arial"/>
              </w:rPr>
              <w:t>11/08/1997</w:t>
            </w:r>
          </w:p>
        </w:tc>
        <w:tc>
          <w:tcPr>
            <w:tcW w:w="2269" w:type="dxa"/>
            <w:tcBorders>
              <w:top w:val="nil"/>
              <w:left w:val="nil"/>
              <w:bottom w:val="nil"/>
              <w:right w:val="nil"/>
            </w:tcBorders>
            <w:shd w:val="clear" w:color="auto" w:fill="auto"/>
            <w:tcMar>
              <w:top w:w="80" w:type="dxa"/>
              <w:left w:w="80" w:type="dxa"/>
              <w:bottom w:w="80" w:type="dxa"/>
              <w:right w:w="80" w:type="dxa"/>
            </w:tcMar>
          </w:tcPr>
          <w:p w14:paraId="280CA5C5" w14:textId="77777777" w:rsidR="000E1F2E" w:rsidRDefault="00E1617B">
            <w:pPr>
              <w:pStyle w:val="TableStyle2"/>
              <w:jc w:val="center"/>
            </w:pPr>
            <w:r>
              <w:rPr>
                <w:rFonts w:ascii="Arial" w:hAnsi="Arial"/>
                <w:shd w:val="clear" w:color="auto" w:fill="FFFFFF"/>
              </w:rPr>
              <w:t>ANC98MA008</w:t>
            </w:r>
          </w:p>
        </w:tc>
      </w:tr>
      <w:tr w:rsidR="000E1F2E" w14:paraId="0BE8F71B" w14:textId="77777777">
        <w:tblPrEx>
          <w:shd w:val="clear" w:color="auto" w:fill="auto"/>
        </w:tblPrEx>
        <w:trPr>
          <w:trHeight w:val="279"/>
        </w:trPr>
        <w:tc>
          <w:tcPr>
            <w:tcW w:w="2338" w:type="dxa"/>
            <w:tcBorders>
              <w:top w:val="nil"/>
              <w:left w:val="nil"/>
              <w:bottom w:val="nil"/>
              <w:right w:val="nil"/>
            </w:tcBorders>
            <w:shd w:val="clear" w:color="auto" w:fill="auto"/>
            <w:tcMar>
              <w:top w:w="80" w:type="dxa"/>
              <w:left w:w="80" w:type="dxa"/>
              <w:bottom w:w="80" w:type="dxa"/>
              <w:right w:w="80" w:type="dxa"/>
            </w:tcMar>
          </w:tcPr>
          <w:p w14:paraId="24CFA92C" w14:textId="77777777" w:rsidR="000E1F2E" w:rsidRDefault="00E1617B">
            <w:pPr>
              <w:pStyle w:val="TableStyle1"/>
              <w:jc w:val="center"/>
            </w:pPr>
            <w:proofErr w:type="spellStart"/>
            <w:r>
              <w:rPr>
                <w:rFonts w:ascii="Arial" w:hAnsi="Arial"/>
              </w:rPr>
              <w:t>Penair</w:t>
            </w:r>
            <w:proofErr w:type="spellEnd"/>
            <w:r>
              <w:rPr>
                <w:rFonts w:ascii="Arial" w:hAnsi="Arial"/>
              </w:rPr>
              <w:t xml:space="preserve"> N9316F</w:t>
            </w:r>
          </w:p>
        </w:tc>
        <w:tc>
          <w:tcPr>
            <w:tcW w:w="1991" w:type="dxa"/>
            <w:tcBorders>
              <w:top w:val="nil"/>
              <w:left w:val="nil"/>
              <w:bottom w:val="nil"/>
              <w:right w:val="nil"/>
            </w:tcBorders>
            <w:shd w:val="clear" w:color="auto" w:fill="auto"/>
            <w:tcMar>
              <w:top w:w="80" w:type="dxa"/>
              <w:left w:w="80" w:type="dxa"/>
              <w:bottom w:w="80" w:type="dxa"/>
              <w:right w:w="80" w:type="dxa"/>
            </w:tcMar>
          </w:tcPr>
          <w:p w14:paraId="4D99CB82" w14:textId="77777777" w:rsidR="000E1F2E" w:rsidRDefault="00E1617B">
            <w:pPr>
              <w:pStyle w:val="TableStyle2"/>
              <w:jc w:val="center"/>
            </w:pPr>
            <w:r>
              <w:rPr>
                <w:rFonts w:ascii="Arial" w:hAnsi="Arial"/>
              </w:rPr>
              <w:t>Cessna 208</w:t>
            </w:r>
          </w:p>
        </w:tc>
        <w:tc>
          <w:tcPr>
            <w:tcW w:w="2097" w:type="dxa"/>
            <w:tcBorders>
              <w:top w:val="nil"/>
              <w:left w:val="nil"/>
              <w:bottom w:val="nil"/>
              <w:right w:val="nil"/>
            </w:tcBorders>
            <w:shd w:val="clear" w:color="auto" w:fill="auto"/>
            <w:tcMar>
              <w:top w:w="80" w:type="dxa"/>
              <w:left w:w="80" w:type="dxa"/>
              <w:bottom w:w="80" w:type="dxa"/>
              <w:right w:w="80" w:type="dxa"/>
            </w:tcMar>
          </w:tcPr>
          <w:p w14:paraId="202121DB" w14:textId="77777777" w:rsidR="000E1F2E" w:rsidRDefault="00E1617B">
            <w:pPr>
              <w:pStyle w:val="TableStyle2"/>
              <w:jc w:val="center"/>
            </w:pPr>
            <w:r>
              <w:rPr>
                <w:rFonts w:ascii="Arial" w:hAnsi="Arial"/>
              </w:rPr>
              <w:t>1/30/1998</w:t>
            </w:r>
          </w:p>
        </w:tc>
        <w:tc>
          <w:tcPr>
            <w:tcW w:w="2269" w:type="dxa"/>
            <w:tcBorders>
              <w:top w:val="nil"/>
              <w:left w:val="nil"/>
              <w:bottom w:val="nil"/>
              <w:right w:val="nil"/>
            </w:tcBorders>
            <w:shd w:val="clear" w:color="auto" w:fill="auto"/>
            <w:tcMar>
              <w:top w:w="80" w:type="dxa"/>
              <w:left w:w="80" w:type="dxa"/>
              <w:bottom w:w="80" w:type="dxa"/>
              <w:right w:w="80" w:type="dxa"/>
            </w:tcMar>
          </w:tcPr>
          <w:p w14:paraId="321C8A0E" w14:textId="77777777" w:rsidR="000E1F2E" w:rsidRDefault="00E1617B">
            <w:pPr>
              <w:pStyle w:val="TableStyle2"/>
              <w:jc w:val="center"/>
            </w:pPr>
            <w:r>
              <w:rPr>
                <w:rFonts w:ascii="Arial" w:hAnsi="Arial"/>
                <w:shd w:val="clear" w:color="auto" w:fill="FFFFFF"/>
              </w:rPr>
              <w:t>ANC98LA018</w:t>
            </w:r>
          </w:p>
        </w:tc>
      </w:tr>
      <w:tr w:rsidR="000E1F2E" w14:paraId="669C5BA6" w14:textId="77777777">
        <w:tblPrEx>
          <w:shd w:val="clear" w:color="auto" w:fill="auto"/>
        </w:tblPrEx>
        <w:trPr>
          <w:trHeight w:val="279"/>
        </w:trPr>
        <w:tc>
          <w:tcPr>
            <w:tcW w:w="2338" w:type="dxa"/>
            <w:tcBorders>
              <w:top w:val="nil"/>
              <w:left w:val="nil"/>
              <w:bottom w:val="nil"/>
              <w:right w:val="nil"/>
            </w:tcBorders>
            <w:shd w:val="clear" w:color="auto" w:fill="auto"/>
            <w:tcMar>
              <w:top w:w="80" w:type="dxa"/>
              <w:left w:w="80" w:type="dxa"/>
              <w:bottom w:w="80" w:type="dxa"/>
              <w:right w:w="80" w:type="dxa"/>
            </w:tcMar>
          </w:tcPr>
          <w:p w14:paraId="035C8D3F" w14:textId="77777777" w:rsidR="000E1F2E" w:rsidRDefault="00E1617B">
            <w:pPr>
              <w:pStyle w:val="TableStyle1"/>
              <w:jc w:val="center"/>
            </w:pPr>
            <w:r>
              <w:rPr>
                <w:rFonts w:ascii="Arial" w:hAnsi="Arial"/>
              </w:rPr>
              <w:t>Baron Aviation 8315</w:t>
            </w:r>
          </w:p>
        </w:tc>
        <w:tc>
          <w:tcPr>
            <w:tcW w:w="1991" w:type="dxa"/>
            <w:tcBorders>
              <w:top w:val="nil"/>
              <w:left w:val="nil"/>
              <w:bottom w:val="nil"/>
              <w:right w:val="nil"/>
            </w:tcBorders>
            <w:shd w:val="clear" w:color="auto" w:fill="auto"/>
            <w:tcMar>
              <w:top w:w="80" w:type="dxa"/>
              <w:left w:w="80" w:type="dxa"/>
              <w:bottom w:w="80" w:type="dxa"/>
              <w:right w:w="80" w:type="dxa"/>
            </w:tcMar>
          </w:tcPr>
          <w:p w14:paraId="10A3537A" w14:textId="77777777" w:rsidR="000E1F2E" w:rsidRDefault="00E1617B">
            <w:pPr>
              <w:pStyle w:val="TableStyle2"/>
              <w:jc w:val="center"/>
            </w:pPr>
            <w:r>
              <w:rPr>
                <w:rFonts w:ascii="Arial" w:hAnsi="Arial"/>
              </w:rPr>
              <w:t>Cessna 208</w:t>
            </w:r>
          </w:p>
        </w:tc>
        <w:tc>
          <w:tcPr>
            <w:tcW w:w="2097" w:type="dxa"/>
            <w:tcBorders>
              <w:top w:val="nil"/>
              <w:left w:val="nil"/>
              <w:bottom w:val="nil"/>
              <w:right w:val="nil"/>
            </w:tcBorders>
            <w:shd w:val="clear" w:color="auto" w:fill="auto"/>
            <w:tcMar>
              <w:top w:w="80" w:type="dxa"/>
              <w:left w:w="80" w:type="dxa"/>
              <w:bottom w:w="80" w:type="dxa"/>
              <w:right w:w="80" w:type="dxa"/>
            </w:tcMar>
          </w:tcPr>
          <w:p w14:paraId="64C61B87" w14:textId="77777777" w:rsidR="000E1F2E" w:rsidRDefault="00E1617B">
            <w:pPr>
              <w:pStyle w:val="TableStyle2"/>
              <w:jc w:val="center"/>
            </w:pPr>
            <w:r>
              <w:rPr>
                <w:rFonts w:ascii="Arial" w:hAnsi="Arial"/>
              </w:rPr>
              <w:t>3/05/1998</w:t>
            </w:r>
          </w:p>
        </w:tc>
        <w:tc>
          <w:tcPr>
            <w:tcW w:w="2269" w:type="dxa"/>
            <w:tcBorders>
              <w:top w:val="nil"/>
              <w:left w:val="nil"/>
              <w:bottom w:val="nil"/>
              <w:right w:val="nil"/>
            </w:tcBorders>
            <w:shd w:val="clear" w:color="auto" w:fill="auto"/>
            <w:tcMar>
              <w:top w:w="80" w:type="dxa"/>
              <w:left w:w="80" w:type="dxa"/>
              <w:bottom w:w="80" w:type="dxa"/>
              <w:right w:w="80" w:type="dxa"/>
            </w:tcMar>
          </w:tcPr>
          <w:p w14:paraId="1F1AEA54" w14:textId="77777777" w:rsidR="000E1F2E" w:rsidRDefault="00E1617B">
            <w:pPr>
              <w:pStyle w:val="TableStyle2"/>
              <w:jc w:val="center"/>
            </w:pPr>
            <w:r>
              <w:rPr>
                <w:rFonts w:ascii="Arial" w:hAnsi="Arial"/>
                <w:shd w:val="clear" w:color="auto" w:fill="FFFFFF"/>
              </w:rPr>
              <w:t>MIA98FA091</w:t>
            </w:r>
          </w:p>
        </w:tc>
      </w:tr>
      <w:tr w:rsidR="000E1F2E" w14:paraId="64005678" w14:textId="77777777">
        <w:tblPrEx>
          <w:shd w:val="clear" w:color="auto" w:fill="auto"/>
        </w:tblPrEx>
        <w:trPr>
          <w:trHeight w:val="279"/>
        </w:trPr>
        <w:tc>
          <w:tcPr>
            <w:tcW w:w="2338" w:type="dxa"/>
            <w:tcBorders>
              <w:top w:val="nil"/>
              <w:left w:val="nil"/>
              <w:bottom w:val="nil"/>
              <w:right w:val="nil"/>
            </w:tcBorders>
            <w:shd w:val="clear" w:color="auto" w:fill="auto"/>
            <w:tcMar>
              <w:top w:w="80" w:type="dxa"/>
              <w:left w:w="80" w:type="dxa"/>
              <w:bottom w:w="80" w:type="dxa"/>
              <w:right w:w="80" w:type="dxa"/>
            </w:tcMar>
          </w:tcPr>
          <w:p w14:paraId="1774E5EB" w14:textId="77777777" w:rsidR="000E1F2E" w:rsidRDefault="00E1617B">
            <w:pPr>
              <w:pStyle w:val="TableStyle1"/>
              <w:jc w:val="center"/>
            </w:pPr>
            <w:r>
              <w:rPr>
                <w:rFonts w:ascii="Arial" w:hAnsi="Arial"/>
              </w:rPr>
              <w:t>Corporate Air 8738</w:t>
            </w:r>
          </w:p>
        </w:tc>
        <w:tc>
          <w:tcPr>
            <w:tcW w:w="1991" w:type="dxa"/>
            <w:tcBorders>
              <w:top w:val="nil"/>
              <w:left w:val="nil"/>
              <w:bottom w:val="nil"/>
              <w:right w:val="nil"/>
            </w:tcBorders>
            <w:shd w:val="clear" w:color="auto" w:fill="auto"/>
            <w:tcMar>
              <w:top w:w="80" w:type="dxa"/>
              <w:left w:w="80" w:type="dxa"/>
              <w:bottom w:w="80" w:type="dxa"/>
              <w:right w:w="80" w:type="dxa"/>
            </w:tcMar>
          </w:tcPr>
          <w:p w14:paraId="7AA53073" w14:textId="77777777" w:rsidR="000E1F2E" w:rsidRDefault="00E1617B">
            <w:pPr>
              <w:pStyle w:val="TableStyle2"/>
              <w:jc w:val="center"/>
            </w:pPr>
            <w:r>
              <w:rPr>
                <w:rFonts w:ascii="Arial" w:hAnsi="Arial"/>
              </w:rPr>
              <w:t>Cessna 208</w:t>
            </w:r>
          </w:p>
        </w:tc>
        <w:tc>
          <w:tcPr>
            <w:tcW w:w="2097" w:type="dxa"/>
            <w:tcBorders>
              <w:top w:val="nil"/>
              <w:left w:val="nil"/>
              <w:bottom w:val="nil"/>
              <w:right w:val="nil"/>
            </w:tcBorders>
            <w:shd w:val="clear" w:color="auto" w:fill="auto"/>
            <w:tcMar>
              <w:top w:w="80" w:type="dxa"/>
              <w:left w:w="80" w:type="dxa"/>
              <w:bottom w:w="80" w:type="dxa"/>
              <w:right w:w="80" w:type="dxa"/>
            </w:tcMar>
          </w:tcPr>
          <w:p w14:paraId="2E40A1F1" w14:textId="77777777" w:rsidR="000E1F2E" w:rsidRDefault="00E1617B">
            <w:pPr>
              <w:pStyle w:val="TableStyle2"/>
              <w:jc w:val="center"/>
            </w:pPr>
            <w:r>
              <w:rPr>
                <w:rFonts w:ascii="Arial" w:hAnsi="Arial"/>
              </w:rPr>
              <w:t>4/07/1998</w:t>
            </w:r>
          </w:p>
        </w:tc>
        <w:tc>
          <w:tcPr>
            <w:tcW w:w="2269" w:type="dxa"/>
            <w:tcBorders>
              <w:top w:val="nil"/>
              <w:left w:val="nil"/>
              <w:bottom w:val="nil"/>
              <w:right w:val="nil"/>
            </w:tcBorders>
            <w:shd w:val="clear" w:color="auto" w:fill="auto"/>
            <w:tcMar>
              <w:top w:w="80" w:type="dxa"/>
              <w:left w:w="80" w:type="dxa"/>
              <w:bottom w:w="80" w:type="dxa"/>
              <w:right w:w="80" w:type="dxa"/>
            </w:tcMar>
          </w:tcPr>
          <w:p w14:paraId="00915F44" w14:textId="77777777" w:rsidR="000E1F2E" w:rsidRDefault="00E1617B">
            <w:pPr>
              <w:pStyle w:val="TableStyle2"/>
              <w:jc w:val="center"/>
            </w:pPr>
            <w:r>
              <w:rPr>
                <w:rFonts w:ascii="Arial" w:hAnsi="Arial"/>
                <w:shd w:val="clear" w:color="auto" w:fill="FFFFFF"/>
              </w:rPr>
              <w:t>CHI98FA119</w:t>
            </w:r>
          </w:p>
        </w:tc>
      </w:tr>
      <w:tr w:rsidR="000E1F2E" w14:paraId="62963350" w14:textId="77777777">
        <w:tblPrEx>
          <w:shd w:val="clear" w:color="auto" w:fill="auto"/>
        </w:tblPrEx>
        <w:trPr>
          <w:trHeight w:val="279"/>
        </w:trPr>
        <w:tc>
          <w:tcPr>
            <w:tcW w:w="2338" w:type="dxa"/>
            <w:tcBorders>
              <w:top w:val="nil"/>
              <w:left w:val="nil"/>
              <w:bottom w:val="nil"/>
              <w:right w:val="nil"/>
            </w:tcBorders>
            <w:shd w:val="clear" w:color="auto" w:fill="auto"/>
            <w:tcMar>
              <w:top w:w="80" w:type="dxa"/>
              <w:left w:w="80" w:type="dxa"/>
              <w:bottom w:w="80" w:type="dxa"/>
              <w:right w:w="80" w:type="dxa"/>
            </w:tcMar>
          </w:tcPr>
          <w:p w14:paraId="7C021E38" w14:textId="77777777" w:rsidR="000E1F2E" w:rsidRDefault="00E1617B">
            <w:pPr>
              <w:pStyle w:val="TableStyle1"/>
              <w:jc w:val="center"/>
            </w:pPr>
            <w:r>
              <w:rPr>
                <w:rFonts w:ascii="Arial" w:hAnsi="Arial"/>
              </w:rPr>
              <w:t>Comair 3272</w:t>
            </w:r>
          </w:p>
        </w:tc>
        <w:tc>
          <w:tcPr>
            <w:tcW w:w="1991" w:type="dxa"/>
            <w:tcBorders>
              <w:top w:val="nil"/>
              <w:left w:val="nil"/>
              <w:bottom w:val="nil"/>
              <w:right w:val="nil"/>
            </w:tcBorders>
            <w:shd w:val="clear" w:color="auto" w:fill="auto"/>
            <w:tcMar>
              <w:top w:w="80" w:type="dxa"/>
              <w:left w:w="80" w:type="dxa"/>
              <w:bottom w:w="80" w:type="dxa"/>
              <w:right w:w="80" w:type="dxa"/>
            </w:tcMar>
          </w:tcPr>
          <w:p w14:paraId="784E53D6" w14:textId="77777777" w:rsidR="000E1F2E" w:rsidRDefault="00E1617B">
            <w:pPr>
              <w:pStyle w:val="TableStyle2"/>
              <w:jc w:val="center"/>
            </w:pPr>
            <w:r>
              <w:rPr>
                <w:rFonts w:ascii="Arial" w:hAnsi="Arial"/>
              </w:rPr>
              <w:t>EMB-120</w:t>
            </w:r>
          </w:p>
        </w:tc>
        <w:tc>
          <w:tcPr>
            <w:tcW w:w="2097" w:type="dxa"/>
            <w:tcBorders>
              <w:top w:val="nil"/>
              <w:left w:val="nil"/>
              <w:bottom w:val="nil"/>
              <w:right w:val="nil"/>
            </w:tcBorders>
            <w:shd w:val="clear" w:color="auto" w:fill="auto"/>
            <w:tcMar>
              <w:top w:w="80" w:type="dxa"/>
              <w:left w:w="80" w:type="dxa"/>
              <w:bottom w:w="80" w:type="dxa"/>
              <w:right w:w="80" w:type="dxa"/>
            </w:tcMar>
          </w:tcPr>
          <w:p w14:paraId="6FF31E91" w14:textId="77777777" w:rsidR="000E1F2E" w:rsidRDefault="00E1617B">
            <w:pPr>
              <w:pStyle w:val="TableStyle2"/>
              <w:jc w:val="center"/>
            </w:pPr>
            <w:r>
              <w:rPr>
                <w:rFonts w:ascii="Arial" w:hAnsi="Arial"/>
              </w:rPr>
              <w:t>11/04/1998</w:t>
            </w:r>
          </w:p>
        </w:tc>
        <w:tc>
          <w:tcPr>
            <w:tcW w:w="2269" w:type="dxa"/>
            <w:tcBorders>
              <w:top w:val="nil"/>
              <w:left w:val="nil"/>
              <w:bottom w:val="nil"/>
              <w:right w:val="nil"/>
            </w:tcBorders>
            <w:shd w:val="clear" w:color="auto" w:fill="auto"/>
            <w:tcMar>
              <w:top w:w="80" w:type="dxa"/>
              <w:left w:w="80" w:type="dxa"/>
              <w:bottom w:w="80" w:type="dxa"/>
              <w:right w:w="80" w:type="dxa"/>
            </w:tcMar>
          </w:tcPr>
          <w:p w14:paraId="5CE89B2F" w14:textId="77777777" w:rsidR="000E1F2E" w:rsidRDefault="00E1617B">
            <w:pPr>
              <w:pStyle w:val="TableStyle2"/>
              <w:jc w:val="center"/>
            </w:pPr>
            <w:r>
              <w:rPr>
                <w:rFonts w:ascii="Arial" w:hAnsi="Arial"/>
                <w:shd w:val="clear" w:color="auto" w:fill="FFFFFF"/>
              </w:rPr>
              <w:t>DCA97MA017</w:t>
            </w:r>
          </w:p>
        </w:tc>
      </w:tr>
      <w:tr w:rsidR="000E1F2E" w14:paraId="6063C562" w14:textId="77777777">
        <w:tblPrEx>
          <w:shd w:val="clear" w:color="auto" w:fill="auto"/>
        </w:tblPrEx>
        <w:trPr>
          <w:trHeight w:val="279"/>
        </w:trPr>
        <w:tc>
          <w:tcPr>
            <w:tcW w:w="2338" w:type="dxa"/>
            <w:tcBorders>
              <w:top w:val="nil"/>
              <w:left w:val="nil"/>
              <w:bottom w:val="nil"/>
              <w:right w:val="nil"/>
            </w:tcBorders>
            <w:shd w:val="clear" w:color="auto" w:fill="auto"/>
            <w:tcMar>
              <w:top w:w="80" w:type="dxa"/>
              <w:left w:w="80" w:type="dxa"/>
              <w:bottom w:w="80" w:type="dxa"/>
              <w:right w:w="80" w:type="dxa"/>
            </w:tcMar>
          </w:tcPr>
          <w:p w14:paraId="373B6AB7" w14:textId="77777777" w:rsidR="000E1F2E" w:rsidRDefault="00E1617B">
            <w:pPr>
              <w:pStyle w:val="TableStyle1"/>
              <w:jc w:val="center"/>
            </w:pPr>
            <w:r>
              <w:rPr>
                <w:rFonts w:ascii="Arial" w:hAnsi="Arial"/>
              </w:rPr>
              <w:t>Comair 5054</w:t>
            </w:r>
          </w:p>
        </w:tc>
        <w:tc>
          <w:tcPr>
            <w:tcW w:w="1991" w:type="dxa"/>
            <w:tcBorders>
              <w:top w:val="nil"/>
              <w:left w:val="nil"/>
              <w:bottom w:val="nil"/>
              <w:right w:val="nil"/>
            </w:tcBorders>
            <w:shd w:val="clear" w:color="auto" w:fill="auto"/>
            <w:tcMar>
              <w:top w:w="80" w:type="dxa"/>
              <w:left w:w="80" w:type="dxa"/>
              <w:bottom w:w="80" w:type="dxa"/>
              <w:right w:w="80" w:type="dxa"/>
            </w:tcMar>
          </w:tcPr>
          <w:p w14:paraId="7D79C279" w14:textId="77777777" w:rsidR="000E1F2E" w:rsidRDefault="00E1617B">
            <w:pPr>
              <w:pStyle w:val="TableStyle2"/>
              <w:jc w:val="center"/>
            </w:pPr>
            <w:r>
              <w:rPr>
                <w:rFonts w:ascii="Arial" w:hAnsi="Arial"/>
              </w:rPr>
              <w:t>EMB-120</w:t>
            </w:r>
          </w:p>
        </w:tc>
        <w:tc>
          <w:tcPr>
            <w:tcW w:w="2097" w:type="dxa"/>
            <w:tcBorders>
              <w:top w:val="nil"/>
              <w:left w:val="nil"/>
              <w:bottom w:val="nil"/>
              <w:right w:val="nil"/>
            </w:tcBorders>
            <w:shd w:val="clear" w:color="auto" w:fill="auto"/>
            <w:tcMar>
              <w:top w:w="80" w:type="dxa"/>
              <w:left w:w="80" w:type="dxa"/>
              <w:bottom w:w="80" w:type="dxa"/>
              <w:right w:w="80" w:type="dxa"/>
            </w:tcMar>
          </w:tcPr>
          <w:p w14:paraId="43268D8C" w14:textId="77777777" w:rsidR="000E1F2E" w:rsidRDefault="00E1617B">
            <w:pPr>
              <w:pStyle w:val="TableStyle2"/>
              <w:jc w:val="center"/>
            </w:pPr>
            <w:r>
              <w:rPr>
                <w:rFonts w:ascii="Arial" w:hAnsi="Arial"/>
              </w:rPr>
              <w:t>3/19/2001</w:t>
            </w:r>
          </w:p>
        </w:tc>
        <w:tc>
          <w:tcPr>
            <w:tcW w:w="2269" w:type="dxa"/>
            <w:tcBorders>
              <w:top w:val="nil"/>
              <w:left w:val="nil"/>
              <w:bottom w:val="nil"/>
              <w:right w:val="nil"/>
            </w:tcBorders>
            <w:shd w:val="clear" w:color="auto" w:fill="auto"/>
            <w:tcMar>
              <w:top w:w="80" w:type="dxa"/>
              <w:left w:w="80" w:type="dxa"/>
              <w:bottom w:w="80" w:type="dxa"/>
              <w:right w:w="80" w:type="dxa"/>
            </w:tcMar>
          </w:tcPr>
          <w:p w14:paraId="39111BC9" w14:textId="77777777" w:rsidR="000E1F2E" w:rsidRDefault="00E1617B">
            <w:pPr>
              <w:pStyle w:val="TableStyle2"/>
              <w:jc w:val="center"/>
            </w:pPr>
            <w:r>
              <w:rPr>
                <w:rFonts w:ascii="Arial" w:hAnsi="Arial"/>
                <w:color w:val="333333"/>
                <w:shd w:val="clear" w:color="auto" w:fill="FFFFFF"/>
              </w:rPr>
              <w:t>DCA01MA031</w:t>
            </w:r>
          </w:p>
        </w:tc>
      </w:tr>
      <w:tr w:rsidR="000E1F2E" w14:paraId="3EDAEBC4" w14:textId="77777777">
        <w:tblPrEx>
          <w:shd w:val="clear" w:color="auto" w:fill="auto"/>
        </w:tblPrEx>
        <w:trPr>
          <w:trHeight w:val="279"/>
        </w:trPr>
        <w:tc>
          <w:tcPr>
            <w:tcW w:w="2338" w:type="dxa"/>
            <w:tcBorders>
              <w:top w:val="nil"/>
              <w:left w:val="nil"/>
              <w:bottom w:val="nil"/>
              <w:right w:val="nil"/>
            </w:tcBorders>
            <w:shd w:val="clear" w:color="auto" w:fill="auto"/>
            <w:tcMar>
              <w:top w:w="80" w:type="dxa"/>
              <w:left w:w="80" w:type="dxa"/>
              <w:bottom w:w="80" w:type="dxa"/>
              <w:right w:w="80" w:type="dxa"/>
            </w:tcMar>
          </w:tcPr>
          <w:p w14:paraId="6E9838DC" w14:textId="77777777" w:rsidR="000E1F2E" w:rsidRDefault="00E1617B">
            <w:pPr>
              <w:pStyle w:val="TableStyle1"/>
              <w:jc w:val="center"/>
            </w:pPr>
            <w:r>
              <w:rPr>
                <w:rFonts w:ascii="Arial" w:hAnsi="Arial"/>
              </w:rPr>
              <w:t>Corporate Air 8810</w:t>
            </w:r>
          </w:p>
        </w:tc>
        <w:tc>
          <w:tcPr>
            <w:tcW w:w="1991" w:type="dxa"/>
            <w:tcBorders>
              <w:top w:val="nil"/>
              <w:left w:val="nil"/>
              <w:bottom w:val="nil"/>
              <w:right w:val="nil"/>
            </w:tcBorders>
            <w:shd w:val="clear" w:color="auto" w:fill="auto"/>
            <w:tcMar>
              <w:top w:w="80" w:type="dxa"/>
              <w:left w:w="80" w:type="dxa"/>
              <w:bottom w:w="80" w:type="dxa"/>
              <w:right w:w="80" w:type="dxa"/>
            </w:tcMar>
          </w:tcPr>
          <w:p w14:paraId="60CA3E37" w14:textId="77777777" w:rsidR="000E1F2E" w:rsidRDefault="00E1617B">
            <w:pPr>
              <w:pStyle w:val="TableStyle2"/>
              <w:jc w:val="center"/>
            </w:pPr>
            <w:r>
              <w:rPr>
                <w:rFonts w:ascii="Arial" w:hAnsi="Arial"/>
              </w:rPr>
              <w:t>Cessna 208</w:t>
            </w:r>
          </w:p>
        </w:tc>
        <w:tc>
          <w:tcPr>
            <w:tcW w:w="2097" w:type="dxa"/>
            <w:tcBorders>
              <w:top w:val="nil"/>
              <w:left w:val="nil"/>
              <w:bottom w:val="nil"/>
              <w:right w:val="nil"/>
            </w:tcBorders>
            <w:shd w:val="clear" w:color="auto" w:fill="auto"/>
            <w:tcMar>
              <w:top w:w="80" w:type="dxa"/>
              <w:left w:w="80" w:type="dxa"/>
              <w:bottom w:w="80" w:type="dxa"/>
              <w:right w:w="80" w:type="dxa"/>
            </w:tcMar>
          </w:tcPr>
          <w:p w14:paraId="49C1AC35" w14:textId="77777777" w:rsidR="000E1F2E" w:rsidRDefault="00E1617B">
            <w:pPr>
              <w:pStyle w:val="TableStyle2"/>
              <w:jc w:val="center"/>
            </w:pPr>
            <w:r>
              <w:rPr>
                <w:rFonts w:ascii="Arial" w:hAnsi="Arial"/>
              </w:rPr>
              <w:t>5/05/2001</w:t>
            </w:r>
          </w:p>
        </w:tc>
        <w:tc>
          <w:tcPr>
            <w:tcW w:w="2269" w:type="dxa"/>
            <w:tcBorders>
              <w:top w:val="nil"/>
              <w:left w:val="nil"/>
              <w:bottom w:val="nil"/>
              <w:right w:val="nil"/>
            </w:tcBorders>
            <w:shd w:val="clear" w:color="auto" w:fill="auto"/>
            <w:tcMar>
              <w:top w:w="80" w:type="dxa"/>
              <w:left w:w="80" w:type="dxa"/>
              <w:bottom w:w="80" w:type="dxa"/>
              <w:right w:w="80" w:type="dxa"/>
            </w:tcMar>
          </w:tcPr>
          <w:p w14:paraId="25F83A22" w14:textId="77777777" w:rsidR="000E1F2E" w:rsidRDefault="00E1617B">
            <w:pPr>
              <w:pStyle w:val="TableStyle2"/>
              <w:jc w:val="center"/>
            </w:pPr>
            <w:r>
              <w:rPr>
                <w:rFonts w:ascii="Arial" w:hAnsi="Arial"/>
                <w:shd w:val="clear" w:color="auto" w:fill="FFFFFF"/>
              </w:rPr>
              <w:t>DEN01FA094</w:t>
            </w:r>
          </w:p>
        </w:tc>
      </w:tr>
      <w:tr w:rsidR="000E1F2E" w14:paraId="6B8E08C2" w14:textId="77777777">
        <w:tblPrEx>
          <w:shd w:val="clear" w:color="auto" w:fill="auto"/>
        </w:tblPrEx>
        <w:trPr>
          <w:trHeight w:val="279"/>
        </w:trPr>
        <w:tc>
          <w:tcPr>
            <w:tcW w:w="2338" w:type="dxa"/>
            <w:tcBorders>
              <w:top w:val="nil"/>
              <w:left w:val="nil"/>
              <w:bottom w:val="nil"/>
              <w:right w:val="nil"/>
            </w:tcBorders>
            <w:shd w:val="clear" w:color="auto" w:fill="auto"/>
            <w:tcMar>
              <w:top w:w="80" w:type="dxa"/>
              <w:left w:w="80" w:type="dxa"/>
              <w:bottom w:w="80" w:type="dxa"/>
              <w:right w:w="80" w:type="dxa"/>
            </w:tcMar>
          </w:tcPr>
          <w:p w14:paraId="6F9387A1" w14:textId="77777777" w:rsidR="000E1F2E" w:rsidRDefault="00E1617B">
            <w:pPr>
              <w:pStyle w:val="TableStyle1"/>
              <w:jc w:val="center"/>
            </w:pPr>
            <w:proofErr w:type="spellStart"/>
            <w:r>
              <w:rPr>
                <w:rFonts w:ascii="Arial" w:hAnsi="Arial"/>
              </w:rPr>
              <w:t>Penair</w:t>
            </w:r>
            <w:proofErr w:type="spellEnd"/>
            <w:r>
              <w:rPr>
                <w:rFonts w:ascii="Arial" w:hAnsi="Arial"/>
              </w:rPr>
              <w:t xml:space="preserve"> 350</w:t>
            </w:r>
          </w:p>
        </w:tc>
        <w:tc>
          <w:tcPr>
            <w:tcW w:w="1991" w:type="dxa"/>
            <w:tcBorders>
              <w:top w:val="nil"/>
              <w:left w:val="nil"/>
              <w:bottom w:val="nil"/>
              <w:right w:val="nil"/>
            </w:tcBorders>
            <w:shd w:val="clear" w:color="auto" w:fill="auto"/>
            <w:tcMar>
              <w:top w:w="80" w:type="dxa"/>
              <w:left w:w="80" w:type="dxa"/>
              <w:bottom w:w="80" w:type="dxa"/>
              <w:right w:w="80" w:type="dxa"/>
            </w:tcMar>
          </w:tcPr>
          <w:p w14:paraId="09C72BFE" w14:textId="77777777" w:rsidR="000E1F2E" w:rsidRDefault="00E1617B">
            <w:pPr>
              <w:pStyle w:val="TableStyle2"/>
              <w:jc w:val="center"/>
            </w:pPr>
            <w:r>
              <w:rPr>
                <w:rFonts w:ascii="Arial" w:hAnsi="Arial"/>
              </w:rPr>
              <w:t>Cessna 208</w:t>
            </w:r>
          </w:p>
        </w:tc>
        <w:tc>
          <w:tcPr>
            <w:tcW w:w="2097" w:type="dxa"/>
            <w:tcBorders>
              <w:top w:val="nil"/>
              <w:left w:val="nil"/>
              <w:bottom w:val="nil"/>
              <w:right w:val="nil"/>
            </w:tcBorders>
            <w:shd w:val="clear" w:color="auto" w:fill="auto"/>
            <w:tcMar>
              <w:top w:w="80" w:type="dxa"/>
              <w:left w:w="80" w:type="dxa"/>
              <w:bottom w:w="80" w:type="dxa"/>
              <w:right w:w="80" w:type="dxa"/>
            </w:tcMar>
          </w:tcPr>
          <w:p w14:paraId="38EF7688" w14:textId="77777777" w:rsidR="000E1F2E" w:rsidRDefault="00E1617B">
            <w:pPr>
              <w:pStyle w:val="TableStyle2"/>
              <w:jc w:val="center"/>
            </w:pPr>
            <w:r>
              <w:rPr>
                <w:rFonts w:ascii="Arial" w:hAnsi="Arial"/>
              </w:rPr>
              <w:t>10/10/2001</w:t>
            </w:r>
          </w:p>
        </w:tc>
        <w:tc>
          <w:tcPr>
            <w:tcW w:w="2269" w:type="dxa"/>
            <w:tcBorders>
              <w:top w:val="nil"/>
              <w:left w:val="nil"/>
              <w:bottom w:val="nil"/>
              <w:right w:val="nil"/>
            </w:tcBorders>
            <w:shd w:val="clear" w:color="auto" w:fill="auto"/>
            <w:tcMar>
              <w:top w:w="80" w:type="dxa"/>
              <w:left w:w="80" w:type="dxa"/>
              <w:bottom w:w="80" w:type="dxa"/>
              <w:right w:w="80" w:type="dxa"/>
            </w:tcMar>
          </w:tcPr>
          <w:p w14:paraId="55A30F47" w14:textId="77777777" w:rsidR="000E1F2E" w:rsidRDefault="00E1617B">
            <w:pPr>
              <w:pStyle w:val="TableStyle2"/>
              <w:jc w:val="center"/>
            </w:pPr>
            <w:r>
              <w:rPr>
                <w:rFonts w:ascii="Arial" w:hAnsi="Arial"/>
                <w:shd w:val="clear" w:color="auto" w:fill="FFFFFF"/>
              </w:rPr>
              <w:t>DCA02MA003</w:t>
            </w:r>
          </w:p>
        </w:tc>
      </w:tr>
      <w:tr w:rsidR="000E1F2E" w14:paraId="6D3C9A98" w14:textId="77777777">
        <w:tblPrEx>
          <w:shd w:val="clear" w:color="auto" w:fill="auto"/>
        </w:tblPrEx>
        <w:trPr>
          <w:trHeight w:val="433"/>
        </w:trPr>
        <w:tc>
          <w:tcPr>
            <w:tcW w:w="2338" w:type="dxa"/>
            <w:tcBorders>
              <w:top w:val="nil"/>
              <w:left w:val="nil"/>
              <w:bottom w:val="nil"/>
              <w:right w:val="nil"/>
            </w:tcBorders>
            <w:shd w:val="clear" w:color="auto" w:fill="auto"/>
            <w:tcMar>
              <w:top w:w="80" w:type="dxa"/>
              <w:left w:w="80" w:type="dxa"/>
              <w:bottom w:w="80" w:type="dxa"/>
              <w:right w:w="80" w:type="dxa"/>
            </w:tcMar>
          </w:tcPr>
          <w:p w14:paraId="42F2DEE1" w14:textId="77777777" w:rsidR="000E1F2E" w:rsidRDefault="00E1617B">
            <w:pPr>
              <w:pStyle w:val="TableStyle1"/>
              <w:jc w:val="center"/>
            </w:pPr>
            <w:r>
              <w:rPr>
                <w:rFonts w:ascii="Arial" w:hAnsi="Arial"/>
              </w:rPr>
              <w:t>Priority Air Charter N228PA</w:t>
            </w:r>
          </w:p>
        </w:tc>
        <w:tc>
          <w:tcPr>
            <w:tcW w:w="1991" w:type="dxa"/>
            <w:tcBorders>
              <w:top w:val="nil"/>
              <w:left w:val="nil"/>
              <w:bottom w:val="nil"/>
              <w:right w:val="nil"/>
            </w:tcBorders>
            <w:shd w:val="clear" w:color="auto" w:fill="auto"/>
            <w:tcMar>
              <w:top w:w="80" w:type="dxa"/>
              <w:left w:w="80" w:type="dxa"/>
              <w:bottom w:w="80" w:type="dxa"/>
              <w:right w:w="80" w:type="dxa"/>
            </w:tcMar>
          </w:tcPr>
          <w:p w14:paraId="7A5D46DC" w14:textId="77777777" w:rsidR="000E1F2E" w:rsidRDefault="00E1617B">
            <w:pPr>
              <w:pStyle w:val="TableStyle2"/>
              <w:jc w:val="center"/>
            </w:pPr>
            <w:r>
              <w:rPr>
                <w:rFonts w:ascii="Arial" w:hAnsi="Arial"/>
              </w:rPr>
              <w:t>Cessna 208</w:t>
            </w:r>
          </w:p>
        </w:tc>
        <w:tc>
          <w:tcPr>
            <w:tcW w:w="2097" w:type="dxa"/>
            <w:tcBorders>
              <w:top w:val="nil"/>
              <w:left w:val="nil"/>
              <w:bottom w:val="nil"/>
              <w:right w:val="nil"/>
            </w:tcBorders>
            <w:shd w:val="clear" w:color="auto" w:fill="auto"/>
            <w:tcMar>
              <w:top w:w="80" w:type="dxa"/>
              <w:left w:w="80" w:type="dxa"/>
              <w:bottom w:w="80" w:type="dxa"/>
              <w:right w:w="80" w:type="dxa"/>
            </w:tcMar>
          </w:tcPr>
          <w:p w14:paraId="6774600E" w14:textId="77777777" w:rsidR="000E1F2E" w:rsidRDefault="00E1617B">
            <w:pPr>
              <w:pStyle w:val="TableStyle2"/>
              <w:jc w:val="center"/>
            </w:pPr>
            <w:r>
              <w:rPr>
                <w:rFonts w:ascii="Arial" w:hAnsi="Arial"/>
              </w:rPr>
              <w:t>3/15/2002</w:t>
            </w:r>
          </w:p>
        </w:tc>
        <w:tc>
          <w:tcPr>
            <w:tcW w:w="2269" w:type="dxa"/>
            <w:tcBorders>
              <w:top w:val="nil"/>
              <w:left w:val="nil"/>
              <w:bottom w:val="nil"/>
              <w:right w:val="nil"/>
            </w:tcBorders>
            <w:shd w:val="clear" w:color="auto" w:fill="auto"/>
            <w:tcMar>
              <w:top w:w="80" w:type="dxa"/>
              <w:left w:w="80" w:type="dxa"/>
              <w:bottom w:w="80" w:type="dxa"/>
              <w:right w:w="80" w:type="dxa"/>
            </w:tcMar>
          </w:tcPr>
          <w:p w14:paraId="7695D5EB" w14:textId="77777777" w:rsidR="000E1F2E" w:rsidRDefault="00E1617B">
            <w:pPr>
              <w:pStyle w:val="TableStyle2"/>
              <w:jc w:val="center"/>
            </w:pPr>
            <w:r>
              <w:rPr>
                <w:rFonts w:ascii="Arial" w:hAnsi="Arial"/>
                <w:shd w:val="clear" w:color="auto" w:fill="FFFFFF"/>
              </w:rPr>
              <w:t>CHI02FA093</w:t>
            </w:r>
          </w:p>
        </w:tc>
      </w:tr>
      <w:tr w:rsidR="000E1F2E" w14:paraId="38C23683" w14:textId="77777777">
        <w:tblPrEx>
          <w:shd w:val="clear" w:color="auto" w:fill="auto"/>
        </w:tblPrEx>
        <w:trPr>
          <w:trHeight w:val="433"/>
        </w:trPr>
        <w:tc>
          <w:tcPr>
            <w:tcW w:w="2338" w:type="dxa"/>
            <w:tcBorders>
              <w:top w:val="nil"/>
              <w:left w:val="nil"/>
              <w:bottom w:val="nil"/>
              <w:right w:val="nil"/>
            </w:tcBorders>
            <w:shd w:val="clear" w:color="auto" w:fill="auto"/>
            <w:tcMar>
              <w:top w:w="80" w:type="dxa"/>
              <w:left w:w="80" w:type="dxa"/>
              <w:bottom w:w="80" w:type="dxa"/>
              <w:right w:w="80" w:type="dxa"/>
            </w:tcMar>
          </w:tcPr>
          <w:p w14:paraId="4903ADBB" w14:textId="77777777" w:rsidR="000E1F2E" w:rsidRDefault="00E1617B">
            <w:pPr>
              <w:pStyle w:val="TableStyle1"/>
              <w:jc w:val="center"/>
            </w:pPr>
            <w:r>
              <w:rPr>
                <w:rFonts w:ascii="Arial" w:hAnsi="Arial"/>
              </w:rPr>
              <w:t>Aviation Charter N41BE</w:t>
            </w:r>
          </w:p>
        </w:tc>
        <w:tc>
          <w:tcPr>
            <w:tcW w:w="1991" w:type="dxa"/>
            <w:tcBorders>
              <w:top w:val="nil"/>
              <w:left w:val="nil"/>
              <w:bottom w:val="nil"/>
              <w:right w:val="nil"/>
            </w:tcBorders>
            <w:shd w:val="clear" w:color="auto" w:fill="auto"/>
            <w:tcMar>
              <w:top w:w="80" w:type="dxa"/>
              <w:left w:w="80" w:type="dxa"/>
              <w:bottom w:w="80" w:type="dxa"/>
              <w:right w:w="80" w:type="dxa"/>
            </w:tcMar>
          </w:tcPr>
          <w:p w14:paraId="2D2CCA28" w14:textId="77777777" w:rsidR="000E1F2E" w:rsidRDefault="00E1617B">
            <w:pPr>
              <w:pStyle w:val="TableStyle2"/>
              <w:jc w:val="center"/>
            </w:pPr>
            <w:r>
              <w:rPr>
                <w:rFonts w:ascii="Arial" w:hAnsi="Arial"/>
              </w:rPr>
              <w:t>Beech A100</w:t>
            </w:r>
          </w:p>
        </w:tc>
        <w:tc>
          <w:tcPr>
            <w:tcW w:w="2097" w:type="dxa"/>
            <w:tcBorders>
              <w:top w:val="nil"/>
              <w:left w:val="nil"/>
              <w:bottom w:val="nil"/>
              <w:right w:val="nil"/>
            </w:tcBorders>
            <w:shd w:val="clear" w:color="auto" w:fill="auto"/>
            <w:tcMar>
              <w:top w:w="80" w:type="dxa"/>
              <w:left w:w="80" w:type="dxa"/>
              <w:bottom w:w="80" w:type="dxa"/>
              <w:right w:w="80" w:type="dxa"/>
            </w:tcMar>
          </w:tcPr>
          <w:p w14:paraId="2A543799" w14:textId="77777777" w:rsidR="000E1F2E" w:rsidRDefault="00E1617B">
            <w:pPr>
              <w:pStyle w:val="TableStyle2"/>
              <w:jc w:val="center"/>
            </w:pPr>
            <w:r>
              <w:rPr>
                <w:rFonts w:ascii="Arial" w:hAnsi="Arial"/>
              </w:rPr>
              <w:t>10/25/2002</w:t>
            </w:r>
          </w:p>
        </w:tc>
        <w:tc>
          <w:tcPr>
            <w:tcW w:w="2269" w:type="dxa"/>
            <w:tcBorders>
              <w:top w:val="nil"/>
              <w:left w:val="nil"/>
              <w:bottom w:val="nil"/>
              <w:right w:val="nil"/>
            </w:tcBorders>
            <w:shd w:val="clear" w:color="auto" w:fill="auto"/>
            <w:tcMar>
              <w:top w:w="80" w:type="dxa"/>
              <w:left w:w="80" w:type="dxa"/>
              <w:bottom w:w="80" w:type="dxa"/>
              <w:right w:w="80" w:type="dxa"/>
            </w:tcMar>
          </w:tcPr>
          <w:p w14:paraId="7BE5C4F7" w14:textId="77777777" w:rsidR="000E1F2E" w:rsidRDefault="00E1617B">
            <w:pPr>
              <w:pStyle w:val="TableStyle2"/>
              <w:jc w:val="center"/>
            </w:pPr>
            <w:r>
              <w:rPr>
                <w:rFonts w:ascii="Arial" w:hAnsi="Arial"/>
                <w:shd w:val="clear" w:color="auto" w:fill="FFFFFF"/>
              </w:rPr>
              <w:t>DCA03MA008</w:t>
            </w:r>
          </w:p>
        </w:tc>
      </w:tr>
      <w:tr w:rsidR="000E1F2E" w14:paraId="5E185582" w14:textId="77777777">
        <w:tblPrEx>
          <w:shd w:val="clear" w:color="auto" w:fill="auto"/>
        </w:tblPrEx>
        <w:trPr>
          <w:trHeight w:val="433"/>
        </w:trPr>
        <w:tc>
          <w:tcPr>
            <w:tcW w:w="2338" w:type="dxa"/>
            <w:tcBorders>
              <w:top w:val="nil"/>
              <w:left w:val="nil"/>
              <w:bottom w:val="nil"/>
              <w:right w:val="nil"/>
            </w:tcBorders>
            <w:shd w:val="clear" w:color="auto" w:fill="auto"/>
            <w:tcMar>
              <w:top w:w="80" w:type="dxa"/>
              <w:left w:w="80" w:type="dxa"/>
              <w:bottom w:w="80" w:type="dxa"/>
              <w:right w:w="80" w:type="dxa"/>
            </w:tcMar>
          </w:tcPr>
          <w:p w14:paraId="0DB1FFF5" w14:textId="77777777" w:rsidR="000E1F2E" w:rsidRDefault="00E1617B">
            <w:pPr>
              <w:pStyle w:val="TableStyle1"/>
              <w:jc w:val="center"/>
            </w:pPr>
            <w:r>
              <w:rPr>
                <w:rFonts w:ascii="Arial" w:hAnsi="Arial"/>
              </w:rPr>
              <w:t>Baron Aviation N944FE</w:t>
            </w:r>
          </w:p>
        </w:tc>
        <w:tc>
          <w:tcPr>
            <w:tcW w:w="1991" w:type="dxa"/>
            <w:tcBorders>
              <w:top w:val="nil"/>
              <w:left w:val="nil"/>
              <w:bottom w:val="nil"/>
              <w:right w:val="nil"/>
            </w:tcBorders>
            <w:shd w:val="clear" w:color="auto" w:fill="auto"/>
            <w:tcMar>
              <w:top w:w="80" w:type="dxa"/>
              <w:left w:w="80" w:type="dxa"/>
              <w:bottom w:w="80" w:type="dxa"/>
              <w:right w:w="80" w:type="dxa"/>
            </w:tcMar>
          </w:tcPr>
          <w:p w14:paraId="00B50E9C" w14:textId="77777777" w:rsidR="000E1F2E" w:rsidRDefault="00E1617B">
            <w:pPr>
              <w:pStyle w:val="TableStyle2"/>
              <w:jc w:val="center"/>
            </w:pPr>
            <w:r>
              <w:rPr>
                <w:rFonts w:ascii="Arial" w:hAnsi="Arial"/>
              </w:rPr>
              <w:t>Cessna 208</w:t>
            </w:r>
          </w:p>
        </w:tc>
        <w:tc>
          <w:tcPr>
            <w:tcW w:w="2097" w:type="dxa"/>
            <w:tcBorders>
              <w:top w:val="nil"/>
              <w:left w:val="nil"/>
              <w:bottom w:val="nil"/>
              <w:right w:val="nil"/>
            </w:tcBorders>
            <w:shd w:val="clear" w:color="auto" w:fill="auto"/>
            <w:tcMar>
              <w:top w:w="80" w:type="dxa"/>
              <w:left w:w="80" w:type="dxa"/>
              <w:bottom w:w="80" w:type="dxa"/>
              <w:right w:w="80" w:type="dxa"/>
            </w:tcMar>
          </w:tcPr>
          <w:p w14:paraId="3CFE176B" w14:textId="77777777" w:rsidR="000E1F2E" w:rsidRDefault="00E1617B">
            <w:pPr>
              <w:pStyle w:val="TableStyle2"/>
              <w:jc w:val="center"/>
            </w:pPr>
            <w:r>
              <w:rPr>
                <w:rFonts w:ascii="Arial" w:hAnsi="Arial"/>
              </w:rPr>
              <w:t>1/24/2003</w:t>
            </w:r>
          </w:p>
        </w:tc>
        <w:tc>
          <w:tcPr>
            <w:tcW w:w="2269" w:type="dxa"/>
            <w:tcBorders>
              <w:top w:val="nil"/>
              <w:left w:val="nil"/>
              <w:bottom w:val="nil"/>
              <w:right w:val="nil"/>
            </w:tcBorders>
            <w:shd w:val="clear" w:color="auto" w:fill="auto"/>
            <w:tcMar>
              <w:top w:w="80" w:type="dxa"/>
              <w:left w:w="80" w:type="dxa"/>
              <w:bottom w:w="80" w:type="dxa"/>
              <w:right w:w="80" w:type="dxa"/>
            </w:tcMar>
          </w:tcPr>
          <w:p w14:paraId="7AD525CE" w14:textId="77777777" w:rsidR="000E1F2E" w:rsidRDefault="00E1617B">
            <w:pPr>
              <w:pStyle w:val="TableStyle2"/>
              <w:jc w:val="center"/>
            </w:pPr>
            <w:r>
              <w:rPr>
                <w:rFonts w:ascii="Arial" w:hAnsi="Arial"/>
                <w:shd w:val="clear" w:color="auto" w:fill="FFFFFF"/>
              </w:rPr>
              <w:t>FTW03FA089</w:t>
            </w:r>
          </w:p>
        </w:tc>
      </w:tr>
      <w:tr w:rsidR="000E1F2E" w14:paraId="6A9A7A6E" w14:textId="77777777">
        <w:tblPrEx>
          <w:shd w:val="clear" w:color="auto" w:fill="auto"/>
        </w:tblPrEx>
        <w:trPr>
          <w:trHeight w:val="279"/>
        </w:trPr>
        <w:tc>
          <w:tcPr>
            <w:tcW w:w="2338" w:type="dxa"/>
            <w:tcBorders>
              <w:top w:val="nil"/>
              <w:left w:val="nil"/>
              <w:bottom w:val="nil"/>
              <w:right w:val="nil"/>
            </w:tcBorders>
            <w:shd w:val="clear" w:color="auto" w:fill="auto"/>
            <w:tcMar>
              <w:top w:w="80" w:type="dxa"/>
              <w:left w:w="80" w:type="dxa"/>
              <w:bottom w:w="80" w:type="dxa"/>
              <w:right w:w="80" w:type="dxa"/>
            </w:tcMar>
          </w:tcPr>
          <w:p w14:paraId="669537DD" w14:textId="77777777" w:rsidR="000E1F2E" w:rsidRDefault="00E1617B">
            <w:pPr>
              <w:pStyle w:val="TableStyle1"/>
              <w:jc w:val="center"/>
            </w:pPr>
            <w:r>
              <w:rPr>
                <w:rFonts w:ascii="Arial" w:hAnsi="Arial"/>
              </w:rPr>
              <w:t>Corporate Air 8773</w:t>
            </w:r>
          </w:p>
        </w:tc>
        <w:tc>
          <w:tcPr>
            <w:tcW w:w="1991" w:type="dxa"/>
            <w:tcBorders>
              <w:top w:val="nil"/>
              <w:left w:val="nil"/>
              <w:bottom w:val="nil"/>
              <w:right w:val="nil"/>
            </w:tcBorders>
            <w:shd w:val="clear" w:color="auto" w:fill="auto"/>
            <w:tcMar>
              <w:top w:w="80" w:type="dxa"/>
              <w:left w:w="80" w:type="dxa"/>
              <w:bottom w:w="80" w:type="dxa"/>
              <w:right w:w="80" w:type="dxa"/>
            </w:tcMar>
          </w:tcPr>
          <w:p w14:paraId="058CF8BF" w14:textId="77777777" w:rsidR="000E1F2E" w:rsidRDefault="00E1617B">
            <w:pPr>
              <w:pStyle w:val="TableStyle2"/>
              <w:jc w:val="center"/>
            </w:pPr>
            <w:r>
              <w:rPr>
                <w:rFonts w:ascii="Arial" w:hAnsi="Arial"/>
              </w:rPr>
              <w:t>Cessna 208</w:t>
            </w:r>
          </w:p>
        </w:tc>
        <w:tc>
          <w:tcPr>
            <w:tcW w:w="2097" w:type="dxa"/>
            <w:tcBorders>
              <w:top w:val="nil"/>
              <w:left w:val="nil"/>
              <w:bottom w:val="nil"/>
              <w:right w:val="nil"/>
            </w:tcBorders>
            <w:shd w:val="clear" w:color="auto" w:fill="auto"/>
            <w:tcMar>
              <w:top w:w="80" w:type="dxa"/>
              <w:left w:w="80" w:type="dxa"/>
              <w:bottom w:w="80" w:type="dxa"/>
              <w:right w:w="80" w:type="dxa"/>
            </w:tcMar>
          </w:tcPr>
          <w:p w14:paraId="0C2F7A9A" w14:textId="77777777" w:rsidR="000E1F2E" w:rsidRDefault="00E1617B">
            <w:pPr>
              <w:pStyle w:val="TableStyle2"/>
              <w:jc w:val="center"/>
            </w:pPr>
            <w:r>
              <w:rPr>
                <w:rFonts w:ascii="Arial" w:hAnsi="Arial"/>
              </w:rPr>
              <w:t>10/29/2003</w:t>
            </w:r>
          </w:p>
        </w:tc>
        <w:tc>
          <w:tcPr>
            <w:tcW w:w="2269" w:type="dxa"/>
            <w:tcBorders>
              <w:top w:val="nil"/>
              <w:left w:val="nil"/>
              <w:bottom w:val="nil"/>
              <w:right w:val="nil"/>
            </w:tcBorders>
            <w:shd w:val="clear" w:color="auto" w:fill="auto"/>
            <w:tcMar>
              <w:top w:w="80" w:type="dxa"/>
              <w:left w:w="80" w:type="dxa"/>
              <w:bottom w:w="80" w:type="dxa"/>
              <w:right w:w="80" w:type="dxa"/>
            </w:tcMar>
          </w:tcPr>
          <w:p w14:paraId="147F16CD" w14:textId="77777777" w:rsidR="000E1F2E" w:rsidRDefault="00E1617B">
            <w:pPr>
              <w:pStyle w:val="TableStyle2"/>
              <w:jc w:val="center"/>
            </w:pPr>
            <w:r>
              <w:rPr>
                <w:rFonts w:ascii="Arial" w:hAnsi="Arial"/>
                <w:shd w:val="clear" w:color="auto" w:fill="FFFFFF"/>
              </w:rPr>
              <w:t>DEN04MA015</w:t>
            </w:r>
          </w:p>
        </w:tc>
      </w:tr>
      <w:tr w:rsidR="000E1F2E" w14:paraId="6229FE62" w14:textId="77777777">
        <w:tblPrEx>
          <w:shd w:val="clear" w:color="auto" w:fill="auto"/>
        </w:tblPrEx>
        <w:trPr>
          <w:trHeight w:val="279"/>
        </w:trPr>
        <w:tc>
          <w:tcPr>
            <w:tcW w:w="2338" w:type="dxa"/>
            <w:tcBorders>
              <w:top w:val="nil"/>
              <w:left w:val="nil"/>
              <w:bottom w:val="nil"/>
              <w:right w:val="nil"/>
            </w:tcBorders>
            <w:shd w:val="clear" w:color="auto" w:fill="auto"/>
            <w:tcMar>
              <w:top w:w="80" w:type="dxa"/>
              <w:left w:w="80" w:type="dxa"/>
              <w:bottom w:w="80" w:type="dxa"/>
              <w:right w:w="80" w:type="dxa"/>
            </w:tcMar>
          </w:tcPr>
          <w:p w14:paraId="4357C47F" w14:textId="77777777" w:rsidR="000E1F2E" w:rsidRDefault="00E1617B">
            <w:pPr>
              <w:pStyle w:val="TableStyle1"/>
              <w:jc w:val="center"/>
            </w:pPr>
            <w:r>
              <w:rPr>
                <w:rFonts w:ascii="Arial" w:hAnsi="Arial"/>
              </w:rPr>
              <w:t>Salmon Air 1860</w:t>
            </w:r>
          </w:p>
        </w:tc>
        <w:tc>
          <w:tcPr>
            <w:tcW w:w="1991" w:type="dxa"/>
            <w:tcBorders>
              <w:top w:val="nil"/>
              <w:left w:val="nil"/>
              <w:bottom w:val="nil"/>
              <w:right w:val="nil"/>
            </w:tcBorders>
            <w:shd w:val="clear" w:color="auto" w:fill="auto"/>
            <w:tcMar>
              <w:top w:w="80" w:type="dxa"/>
              <w:left w:w="80" w:type="dxa"/>
              <w:bottom w:w="80" w:type="dxa"/>
              <w:right w:w="80" w:type="dxa"/>
            </w:tcMar>
          </w:tcPr>
          <w:p w14:paraId="191A239E" w14:textId="77777777" w:rsidR="000E1F2E" w:rsidRDefault="00E1617B">
            <w:pPr>
              <w:pStyle w:val="TableStyle2"/>
              <w:jc w:val="center"/>
            </w:pPr>
            <w:r>
              <w:rPr>
                <w:rFonts w:ascii="Arial" w:hAnsi="Arial"/>
              </w:rPr>
              <w:t>Cessna 208</w:t>
            </w:r>
          </w:p>
        </w:tc>
        <w:tc>
          <w:tcPr>
            <w:tcW w:w="2097" w:type="dxa"/>
            <w:tcBorders>
              <w:top w:val="nil"/>
              <w:left w:val="nil"/>
              <w:bottom w:val="nil"/>
              <w:right w:val="nil"/>
            </w:tcBorders>
            <w:shd w:val="clear" w:color="auto" w:fill="auto"/>
            <w:tcMar>
              <w:top w:w="80" w:type="dxa"/>
              <w:left w:w="80" w:type="dxa"/>
              <w:bottom w:w="80" w:type="dxa"/>
              <w:right w:w="80" w:type="dxa"/>
            </w:tcMar>
          </w:tcPr>
          <w:p w14:paraId="1AD511F5" w14:textId="77777777" w:rsidR="000E1F2E" w:rsidRDefault="00E1617B">
            <w:pPr>
              <w:pStyle w:val="TableStyle2"/>
              <w:jc w:val="center"/>
            </w:pPr>
            <w:r>
              <w:rPr>
                <w:rFonts w:ascii="Arial" w:hAnsi="Arial"/>
              </w:rPr>
              <w:t>12/06/2004</w:t>
            </w:r>
          </w:p>
        </w:tc>
        <w:tc>
          <w:tcPr>
            <w:tcW w:w="2269" w:type="dxa"/>
            <w:tcBorders>
              <w:top w:val="nil"/>
              <w:left w:val="nil"/>
              <w:bottom w:val="nil"/>
              <w:right w:val="nil"/>
            </w:tcBorders>
            <w:shd w:val="clear" w:color="auto" w:fill="auto"/>
            <w:tcMar>
              <w:top w:w="80" w:type="dxa"/>
              <w:left w:w="80" w:type="dxa"/>
              <w:bottom w:w="80" w:type="dxa"/>
              <w:right w:w="80" w:type="dxa"/>
            </w:tcMar>
          </w:tcPr>
          <w:p w14:paraId="7B1EA843" w14:textId="77777777" w:rsidR="000E1F2E" w:rsidRDefault="00E1617B">
            <w:pPr>
              <w:pStyle w:val="TableStyle2"/>
              <w:jc w:val="center"/>
            </w:pPr>
            <w:r>
              <w:rPr>
                <w:rFonts w:ascii="Arial" w:hAnsi="Arial"/>
                <w:shd w:val="clear" w:color="auto" w:fill="FFFFFF"/>
              </w:rPr>
              <w:t>SEA05FA025</w:t>
            </w:r>
          </w:p>
        </w:tc>
      </w:tr>
      <w:tr w:rsidR="000E1F2E" w14:paraId="053FBD0F" w14:textId="77777777">
        <w:tblPrEx>
          <w:shd w:val="clear" w:color="auto" w:fill="auto"/>
        </w:tblPrEx>
        <w:trPr>
          <w:trHeight w:val="279"/>
        </w:trPr>
        <w:tc>
          <w:tcPr>
            <w:tcW w:w="2338" w:type="dxa"/>
            <w:tcBorders>
              <w:top w:val="nil"/>
              <w:left w:val="nil"/>
              <w:bottom w:val="nil"/>
              <w:right w:val="nil"/>
            </w:tcBorders>
            <w:shd w:val="clear" w:color="auto" w:fill="auto"/>
            <w:tcMar>
              <w:top w:w="80" w:type="dxa"/>
              <w:left w:w="80" w:type="dxa"/>
              <w:bottom w:w="80" w:type="dxa"/>
              <w:right w:w="80" w:type="dxa"/>
            </w:tcMar>
          </w:tcPr>
          <w:p w14:paraId="0010F31C" w14:textId="77777777" w:rsidR="000E1F2E" w:rsidRDefault="00E1617B">
            <w:pPr>
              <w:pStyle w:val="TableStyle1"/>
              <w:jc w:val="center"/>
            </w:pPr>
            <w:r>
              <w:rPr>
                <w:rFonts w:ascii="Arial" w:hAnsi="Arial"/>
              </w:rPr>
              <w:t>Arctic Circle 218</w:t>
            </w:r>
          </w:p>
        </w:tc>
        <w:tc>
          <w:tcPr>
            <w:tcW w:w="1991" w:type="dxa"/>
            <w:tcBorders>
              <w:top w:val="nil"/>
              <w:left w:val="nil"/>
              <w:bottom w:val="nil"/>
              <w:right w:val="nil"/>
            </w:tcBorders>
            <w:shd w:val="clear" w:color="auto" w:fill="auto"/>
            <w:tcMar>
              <w:top w:w="80" w:type="dxa"/>
              <w:left w:w="80" w:type="dxa"/>
              <w:bottom w:w="80" w:type="dxa"/>
              <w:right w:w="80" w:type="dxa"/>
            </w:tcMar>
          </w:tcPr>
          <w:p w14:paraId="254B362A" w14:textId="77777777" w:rsidR="000E1F2E" w:rsidRDefault="00E1617B">
            <w:pPr>
              <w:pStyle w:val="TableStyle2"/>
              <w:jc w:val="center"/>
            </w:pPr>
            <w:r>
              <w:rPr>
                <w:rFonts w:ascii="Arial" w:hAnsi="Arial"/>
              </w:rPr>
              <w:t>Cessna 208</w:t>
            </w:r>
          </w:p>
        </w:tc>
        <w:tc>
          <w:tcPr>
            <w:tcW w:w="2097" w:type="dxa"/>
            <w:tcBorders>
              <w:top w:val="nil"/>
              <w:left w:val="nil"/>
              <w:bottom w:val="nil"/>
              <w:right w:val="nil"/>
            </w:tcBorders>
            <w:shd w:val="clear" w:color="auto" w:fill="auto"/>
            <w:tcMar>
              <w:top w:w="80" w:type="dxa"/>
              <w:left w:w="80" w:type="dxa"/>
              <w:bottom w:w="80" w:type="dxa"/>
              <w:right w:w="80" w:type="dxa"/>
            </w:tcMar>
          </w:tcPr>
          <w:p w14:paraId="5169BD8E" w14:textId="77777777" w:rsidR="000E1F2E" w:rsidRDefault="00E1617B">
            <w:pPr>
              <w:pStyle w:val="TableStyle2"/>
              <w:jc w:val="center"/>
            </w:pPr>
            <w:r>
              <w:rPr>
                <w:rFonts w:ascii="Arial" w:hAnsi="Arial"/>
              </w:rPr>
              <w:t>12/18/2007</w:t>
            </w:r>
          </w:p>
        </w:tc>
        <w:tc>
          <w:tcPr>
            <w:tcW w:w="2269" w:type="dxa"/>
            <w:tcBorders>
              <w:top w:val="nil"/>
              <w:left w:val="nil"/>
              <w:bottom w:val="nil"/>
              <w:right w:val="nil"/>
            </w:tcBorders>
            <w:shd w:val="clear" w:color="auto" w:fill="auto"/>
            <w:tcMar>
              <w:top w:w="80" w:type="dxa"/>
              <w:left w:w="80" w:type="dxa"/>
              <w:bottom w:w="80" w:type="dxa"/>
              <w:right w:w="80" w:type="dxa"/>
            </w:tcMar>
          </w:tcPr>
          <w:p w14:paraId="6099BEF6" w14:textId="77777777" w:rsidR="000E1F2E" w:rsidRDefault="00E1617B">
            <w:pPr>
              <w:pStyle w:val="TableStyle2"/>
              <w:jc w:val="center"/>
            </w:pPr>
            <w:r>
              <w:rPr>
                <w:rFonts w:ascii="Arial" w:hAnsi="Arial"/>
                <w:shd w:val="clear" w:color="auto" w:fill="FFFFFF"/>
              </w:rPr>
              <w:t>ANC08LA027</w:t>
            </w:r>
          </w:p>
        </w:tc>
      </w:tr>
    </w:tbl>
    <w:p w14:paraId="7944AC2E" w14:textId="77777777" w:rsidR="000E1F2E" w:rsidRDefault="000E1F2E">
      <w:pPr>
        <w:pStyle w:val="Body"/>
        <w:jc w:val="both"/>
        <w:rPr>
          <w:sz w:val="24"/>
          <w:szCs w:val="24"/>
        </w:rPr>
      </w:pPr>
    </w:p>
    <w:p w14:paraId="5A8E68B4" w14:textId="77777777" w:rsidR="000E1F2E" w:rsidRDefault="000E1F2E">
      <w:pPr>
        <w:pStyle w:val="Body"/>
        <w:jc w:val="both"/>
        <w:rPr>
          <w:sz w:val="24"/>
          <w:szCs w:val="24"/>
        </w:rPr>
      </w:pPr>
    </w:p>
    <w:p w14:paraId="2453B54F" w14:textId="77777777" w:rsidR="000E1F2E" w:rsidRDefault="000E1F2E">
      <w:pPr>
        <w:pStyle w:val="Body"/>
        <w:jc w:val="both"/>
        <w:rPr>
          <w:sz w:val="24"/>
          <w:szCs w:val="24"/>
        </w:rPr>
      </w:pPr>
    </w:p>
    <w:p w14:paraId="3A5F4B1A" w14:textId="77777777" w:rsidR="000E1F2E" w:rsidRDefault="00E1617B">
      <w:pPr>
        <w:pStyle w:val="Body"/>
        <w:jc w:val="both"/>
        <w:rPr>
          <w:sz w:val="24"/>
          <w:szCs w:val="24"/>
        </w:rPr>
      </w:pPr>
      <w:r>
        <w:rPr>
          <w:sz w:val="24"/>
          <w:szCs w:val="24"/>
        </w:rPr>
        <w:tab/>
        <w:t xml:space="preserve">Certain airlines, in particular Alaska Airlines, have been very proactive in getting the necessary improvements made to their simulators and in developing the new training curriculum. Other organizations, notably the European Aviation Safety Agency (EASA) and Airbus, have expressed reservations about doing this training, in part because of the belief that fly-by-wire airplanes with envelope protection obviate the need for the training. However, the Air France 447 and </w:t>
      </w:r>
      <w:proofErr w:type="spellStart"/>
      <w:r>
        <w:rPr>
          <w:sz w:val="24"/>
          <w:szCs w:val="24"/>
        </w:rPr>
        <w:t>AirAsia</w:t>
      </w:r>
      <w:proofErr w:type="spellEnd"/>
      <w:r>
        <w:rPr>
          <w:sz w:val="24"/>
          <w:szCs w:val="24"/>
        </w:rPr>
        <w:t xml:space="preserve"> 8501 accidents show that even these airplanes are vulnerable to aerodynamic stalls.</w:t>
      </w:r>
    </w:p>
    <w:p w14:paraId="74D0EF25" w14:textId="77777777" w:rsidR="000E1F2E" w:rsidRDefault="000E1F2E">
      <w:pPr>
        <w:pStyle w:val="Body"/>
        <w:jc w:val="both"/>
        <w:rPr>
          <w:sz w:val="24"/>
          <w:szCs w:val="24"/>
        </w:rPr>
      </w:pPr>
    </w:p>
    <w:p w14:paraId="0E736252" w14:textId="77777777" w:rsidR="000E1F2E" w:rsidRDefault="00E1617B">
      <w:pPr>
        <w:pStyle w:val="Body"/>
        <w:jc w:val="both"/>
        <w:rPr>
          <w:sz w:val="24"/>
          <w:szCs w:val="24"/>
        </w:rPr>
      </w:pPr>
      <w:r>
        <w:rPr>
          <w:sz w:val="24"/>
          <w:szCs w:val="24"/>
        </w:rPr>
        <w:tab/>
        <w:t>As airline flight simulators are remodeled and re-certified and airlines begin training pilots in stall recognition and recovery, it will be essential for training department managers and instructors to fully understand the airplane’s post stall behavior and the nuances of proper recovery technique. The pilot community will need to understand and accept the need for these changes to their training.</w:t>
      </w:r>
    </w:p>
    <w:p w14:paraId="7B8F8B46" w14:textId="77777777" w:rsidR="000E1F2E" w:rsidRDefault="000E1F2E">
      <w:pPr>
        <w:pStyle w:val="Body"/>
        <w:jc w:val="both"/>
        <w:rPr>
          <w:sz w:val="24"/>
          <w:szCs w:val="24"/>
        </w:rPr>
      </w:pPr>
    </w:p>
    <w:p w14:paraId="4CDEF211" w14:textId="77777777" w:rsidR="000E1F2E" w:rsidRDefault="00E1617B">
      <w:pPr>
        <w:pStyle w:val="Body"/>
        <w:jc w:val="both"/>
        <w:rPr>
          <w:sz w:val="24"/>
          <w:szCs w:val="24"/>
        </w:rPr>
      </w:pPr>
      <w:r>
        <w:rPr>
          <w:sz w:val="24"/>
          <w:szCs w:val="24"/>
        </w:rPr>
        <w:tab/>
      </w:r>
      <w:r>
        <w:rPr>
          <w:b/>
          <w:bCs/>
          <w:sz w:val="24"/>
          <w:szCs w:val="24"/>
        </w:rPr>
        <w:t>Tail Stall Training</w:t>
      </w:r>
    </w:p>
    <w:p w14:paraId="1FF956E9" w14:textId="77777777" w:rsidR="000E1F2E" w:rsidRDefault="000E1F2E">
      <w:pPr>
        <w:pStyle w:val="Body"/>
        <w:jc w:val="both"/>
        <w:rPr>
          <w:sz w:val="24"/>
          <w:szCs w:val="24"/>
        </w:rPr>
      </w:pPr>
    </w:p>
    <w:p w14:paraId="3B87EF3A" w14:textId="77777777" w:rsidR="000E1F2E" w:rsidRDefault="00E1617B">
      <w:pPr>
        <w:pStyle w:val="Body"/>
        <w:jc w:val="both"/>
        <w:rPr>
          <w:sz w:val="24"/>
          <w:szCs w:val="24"/>
        </w:rPr>
      </w:pPr>
      <w:r>
        <w:rPr>
          <w:sz w:val="24"/>
          <w:szCs w:val="24"/>
        </w:rPr>
        <w:tab/>
        <w:t xml:space="preserve">One </w:t>
      </w:r>
      <w:proofErr w:type="spellStart"/>
      <w:r>
        <w:rPr>
          <w:sz w:val="24"/>
          <w:szCs w:val="24"/>
        </w:rPr>
        <w:t>Colgan</w:t>
      </w:r>
      <w:proofErr w:type="spellEnd"/>
      <w:r>
        <w:rPr>
          <w:sz w:val="24"/>
          <w:szCs w:val="24"/>
        </w:rPr>
        <w:t xml:space="preserve"> recommendation addressed the need for operators to identify any airplanes in their fleet susceptible to ice contaminated tail stall (ICTS) and to provide appropriate training. Equally importantly, it insisted that any reference to tail stall procedures be removed by operators if their airplanes were not susceptible to ICTS. The impetus for this recommendation was the fact that the </w:t>
      </w:r>
      <w:proofErr w:type="spellStart"/>
      <w:r>
        <w:rPr>
          <w:sz w:val="24"/>
          <w:szCs w:val="24"/>
        </w:rPr>
        <w:t>Colgan</w:t>
      </w:r>
      <w:proofErr w:type="spellEnd"/>
      <w:r>
        <w:rPr>
          <w:sz w:val="24"/>
          <w:szCs w:val="24"/>
        </w:rPr>
        <w:t xml:space="preserve"> crew had seen a video about ICTS and may have been influenced by it during the accident stall even though the manufacturer told the NTSB during the investigation the airplane was not susceptible to ICTS.</w:t>
      </w:r>
    </w:p>
    <w:p w14:paraId="68F161F4" w14:textId="77777777" w:rsidR="000E1F2E" w:rsidRDefault="000E1F2E">
      <w:pPr>
        <w:pStyle w:val="Body"/>
        <w:jc w:val="both"/>
        <w:rPr>
          <w:sz w:val="24"/>
          <w:szCs w:val="24"/>
        </w:rPr>
      </w:pPr>
    </w:p>
    <w:p w14:paraId="0F47BE56" w14:textId="77777777" w:rsidR="000E1F2E" w:rsidRDefault="00E1617B">
      <w:pPr>
        <w:pStyle w:val="Body"/>
        <w:jc w:val="both"/>
        <w:rPr>
          <w:sz w:val="24"/>
          <w:szCs w:val="24"/>
        </w:rPr>
      </w:pPr>
      <w:r>
        <w:rPr>
          <w:sz w:val="24"/>
          <w:szCs w:val="24"/>
        </w:rPr>
        <w:tab/>
        <w:t>The FAA compiled a list of all airplanes used in 14 CFR Part 121, and broke the list into three categories. These were: airplanes not susceptible to ICTS; airplanes with risk mitigated by design changes, operating limitations, and/or operating procedures; and airplanes not evaluated. The FAA published a notice to its inspectors on the subject in June, 2014, directing principal operations inspectors (POI’s) to see that operators complied with the guidance. Notably, POI’s were directed to verify the NASA “</w:t>
      </w:r>
      <w:proofErr w:type="spellStart"/>
      <w:r>
        <w:rPr>
          <w:sz w:val="24"/>
          <w:szCs w:val="24"/>
        </w:rPr>
        <w:t>Tailplane</w:t>
      </w:r>
      <w:proofErr w:type="spellEnd"/>
      <w:r>
        <w:rPr>
          <w:sz w:val="24"/>
          <w:szCs w:val="24"/>
        </w:rPr>
        <w:t xml:space="preserve"> Icing” video was not part of the operators training if its airplanes were not susceptible to ICTS. Pilots working at air carriers should no longer be getting conflicting or unclear guidance about ICTS for the airplanes they fly.</w:t>
      </w:r>
    </w:p>
    <w:p w14:paraId="4E5DA3E9" w14:textId="77777777" w:rsidR="000E1F2E" w:rsidRDefault="000E1F2E">
      <w:pPr>
        <w:pStyle w:val="Body"/>
        <w:jc w:val="both"/>
        <w:rPr>
          <w:sz w:val="24"/>
          <w:szCs w:val="24"/>
        </w:rPr>
      </w:pPr>
    </w:p>
    <w:p w14:paraId="79660419" w14:textId="77777777" w:rsidR="000E1F2E" w:rsidRDefault="00E1617B">
      <w:pPr>
        <w:pStyle w:val="Body"/>
        <w:jc w:val="both"/>
        <w:rPr>
          <w:sz w:val="24"/>
          <w:szCs w:val="24"/>
        </w:rPr>
      </w:pPr>
      <w:r>
        <w:rPr>
          <w:sz w:val="24"/>
          <w:szCs w:val="24"/>
        </w:rPr>
        <w:tab/>
        <w:t xml:space="preserve">However, that list has not been made public.  One of the problems identified in the NTSB’s </w:t>
      </w:r>
      <w:proofErr w:type="spellStart"/>
      <w:r>
        <w:rPr>
          <w:sz w:val="24"/>
          <w:szCs w:val="24"/>
        </w:rPr>
        <w:t>Colgan</w:t>
      </w:r>
      <w:proofErr w:type="spellEnd"/>
      <w:r>
        <w:rPr>
          <w:sz w:val="24"/>
          <w:szCs w:val="24"/>
        </w:rPr>
        <w:t xml:space="preserve"> investigation was widespread confusion among pilots about ICTS. There have been multiple articles published recently in aviation magazines about tail stall, possibly adding to confusion about when a tail stall recovery is needed. FAA publication of the ICTS aircraft list would help to minimize confusion on the subject for all pilots.</w:t>
      </w:r>
    </w:p>
    <w:p w14:paraId="59B826D8" w14:textId="77777777" w:rsidR="000E1F2E" w:rsidRDefault="000E1F2E">
      <w:pPr>
        <w:pStyle w:val="Body"/>
        <w:jc w:val="both"/>
        <w:rPr>
          <w:sz w:val="24"/>
          <w:szCs w:val="24"/>
        </w:rPr>
      </w:pPr>
    </w:p>
    <w:p w14:paraId="08B71EBD" w14:textId="77777777" w:rsidR="000E1F2E" w:rsidRDefault="00E1617B">
      <w:pPr>
        <w:pStyle w:val="Body"/>
        <w:jc w:val="both"/>
        <w:rPr>
          <w:b/>
          <w:bCs/>
          <w:sz w:val="24"/>
          <w:szCs w:val="24"/>
        </w:rPr>
      </w:pPr>
      <w:r>
        <w:rPr>
          <w:sz w:val="24"/>
          <w:szCs w:val="24"/>
        </w:rPr>
        <w:tab/>
      </w:r>
      <w:r>
        <w:rPr>
          <w:b/>
          <w:bCs/>
          <w:sz w:val="24"/>
          <w:szCs w:val="24"/>
        </w:rPr>
        <w:t>Monitoring Training</w:t>
      </w:r>
    </w:p>
    <w:p w14:paraId="7422EC35" w14:textId="77777777" w:rsidR="000E1F2E" w:rsidRDefault="000E1F2E">
      <w:pPr>
        <w:pStyle w:val="Body"/>
        <w:jc w:val="both"/>
        <w:rPr>
          <w:b/>
          <w:bCs/>
          <w:sz w:val="24"/>
          <w:szCs w:val="24"/>
        </w:rPr>
      </w:pPr>
    </w:p>
    <w:p w14:paraId="7ACCAC41" w14:textId="77777777" w:rsidR="000E1F2E" w:rsidRDefault="00E1617B">
      <w:pPr>
        <w:pStyle w:val="Body"/>
        <w:jc w:val="both"/>
        <w:rPr>
          <w:sz w:val="24"/>
          <w:szCs w:val="24"/>
        </w:rPr>
      </w:pPr>
      <w:r>
        <w:rPr>
          <w:b/>
          <w:bCs/>
          <w:sz w:val="24"/>
          <w:szCs w:val="24"/>
        </w:rPr>
        <w:tab/>
      </w:r>
      <w:r>
        <w:rPr>
          <w:sz w:val="24"/>
          <w:szCs w:val="24"/>
        </w:rPr>
        <w:t xml:space="preserve">There were two recommendations on monitoring in the </w:t>
      </w:r>
      <w:proofErr w:type="spellStart"/>
      <w:r>
        <w:rPr>
          <w:sz w:val="24"/>
          <w:szCs w:val="24"/>
        </w:rPr>
        <w:t>Colgan</w:t>
      </w:r>
      <w:proofErr w:type="spellEnd"/>
      <w:r>
        <w:rPr>
          <w:sz w:val="24"/>
          <w:szCs w:val="24"/>
        </w:rPr>
        <w:t xml:space="preserve"> report, one of which was a reiteration of an earlier recommendation. The NTSB wanted to see FAA POI’s at every airline review their airline’s procedures to ensure monitoring was being taught. The FAA did not agree to do that, but it published a final rule on qualification, service and use of crew members and dispatchers in November, 2013 that mandated air carrier pilot monitoring procedures. In </w:t>
      </w:r>
      <w:proofErr w:type="gramStart"/>
      <w:r>
        <w:rPr>
          <w:sz w:val="24"/>
          <w:szCs w:val="24"/>
        </w:rPr>
        <w:t>January,  2017</w:t>
      </w:r>
      <w:proofErr w:type="gramEnd"/>
      <w:r>
        <w:rPr>
          <w:sz w:val="24"/>
          <w:szCs w:val="24"/>
        </w:rPr>
        <w:t xml:space="preserve"> the FAA also did a major rewrite of its AC 120-71 on standard operating procedures (SOP’s) and pilot monitoring duties. These actions met the spirit, if not necessarily the letter of the recommendations.</w:t>
      </w:r>
    </w:p>
    <w:p w14:paraId="18F93553" w14:textId="77777777" w:rsidR="000E1F2E" w:rsidRDefault="000E1F2E">
      <w:pPr>
        <w:pStyle w:val="Body"/>
        <w:jc w:val="both"/>
        <w:rPr>
          <w:sz w:val="24"/>
          <w:szCs w:val="24"/>
        </w:rPr>
      </w:pPr>
    </w:p>
    <w:p w14:paraId="2B7F606F" w14:textId="77777777" w:rsidR="000E1F2E" w:rsidRDefault="00E1617B">
      <w:pPr>
        <w:pStyle w:val="Body"/>
        <w:jc w:val="both"/>
        <w:rPr>
          <w:sz w:val="24"/>
          <w:szCs w:val="24"/>
        </w:rPr>
      </w:pPr>
      <w:r>
        <w:rPr>
          <w:sz w:val="24"/>
          <w:szCs w:val="24"/>
        </w:rPr>
        <w:tab/>
        <w:t xml:space="preserve">Monitoring is an activity that takes place in cockpits by pilots. Mandates and training are valuable means to improve monitoring, but the ultimate responsibility lies with pilots.  The FAA’s final rule mandating monitoring does not go into effect until 2019, </w:t>
      </w:r>
      <w:r>
        <w:rPr>
          <w:sz w:val="24"/>
          <w:szCs w:val="24"/>
        </w:rPr>
        <w:lastRenderedPageBreak/>
        <w:t>but there is no reason for pilots to wait. All pilots of multi-crew aircraft should be improving their monitoring skills today.</w:t>
      </w:r>
    </w:p>
    <w:p w14:paraId="50A34D67" w14:textId="77777777" w:rsidR="000E1F2E" w:rsidRDefault="000E1F2E">
      <w:pPr>
        <w:pStyle w:val="Body"/>
        <w:jc w:val="both"/>
        <w:rPr>
          <w:sz w:val="24"/>
          <w:szCs w:val="24"/>
        </w:rPr>
      </w:pPr>
    </w:p>
    <w:p w14:paraId="23DD4269" w14:textId="77777777" w:rsidR="000E1F2E" w:rsidRDefault="00E1617B">
      <w:pPr>
        <w:pStyle w:val="Body"/>
        <w:jc w:val="both"/>
        <w:rPr>
          <w:b/>
          <w:bCs/>
          <w:sz w:val="24"/>
          <w:szCs w:val="24"/>
        </w:rPr>
      </w:pPr>
      <w:r>
        <w:rPr>
          <w:sz w:val="24"/>
          <w:szCs w:val="24"/>
        </w:rPr>
        <w:tab/>
      </w:r>
      <w:r>
        <w:rPr>
          <w:b/>
          <w:bCs/>
          <w:sz w:val="24"/>
          <w:szCs w:val="24"/>
        </w:rPr>
        <w:t>Remedial Training</w:t>
      </w:r>
    </w:p>
    <w:p w14:paraId="7A496F63" w14:textId="77777777" w:rsidR="000E1F2E" w:rsidRDefault="000E1F2E">
      <w:pPr>
        <w:pStyle w:val="Body"/>
        <w:jc w:val="both"/>
        <w:rPr>
          <w:b/>
          <w:bCs/>
          <w:sz w:val="24"/>
          <w:szCs w:val="24"/>
        </w:rPr>
      </w:pPr>
    </w:p>
    <w:p w14:paraId="6E432079" w14:textId="77777777" w:rsidR="000E1F2E" w:rsidRDefault="00E1617B">
      <w:pPr>
        <w:pStyle w:val="Body"/>
        <w:jc w:val="both"/>
        <w:rPr>
          <w:sz w:val="24"/>
          <w:szCs w:val="24"/>
        </w:rPr>
      </w:pPr>
      <w:r>
        <w:rPr>
          <w:b/>
          <w:bCs/>
          <w:sz w:val="24"/>
          <w:szCs w:val="24"/>
        </w:rPr>
        <w:tab/>
      </w:r>
      <w:r>
        <w:rPr>
          <w:sz w:val="24"/>
          <w:szCs w:val="24"/>
        </w:rPr>
        <w:t xml:space="preserve">The NTSB published a recommendation on remedial training in 2005 and it was reiterated in the </w:t>
      </w:r>
      <w:proofErr w:type="spellStart"/>
      <w:r>
        <w:rPr>
          <w:sz w:val="24"/>
          <w:szCs w:val="24"/>
        </w:rPr>
        <w:t>Colgan</w:t>
      </w:r>
      <w:proofErr w:type="spellEnd"/>
      <w:r>
        <w:rPr>
          <w:sz w:val="24"/>
          <w:szCs w:val="24"/>
        </w:rPr>
        <w:t xml:space="preserve"> report. A new recommendation addressed the need to use improved pilot records in conjunction with the remedial training program. </w:t>
      </w:r>
      <w:proofErr w:type="spellStart"/>
      <w:r>
        <w:rPr>
          <w:sz w:val="24"/>
          <w:szCs w:val="24"/>
        </w:rPr>
        <w:t>Colgan</w:t>
      </w:r>
      <w:proofErr w:type="spellEnd"/>
      <w:r>
        <w:rPr>
          <w:sz w:val="24"/>
          <w:szCs w:val="24"/>
        </w:rPr>
        <w:t xml:space="preserve"> had no remedial training program to work with pilots who had training problems. The investigation discovered the company had not taken steps to correct the accident captain’s known training deficiencies and had no effective system in place to do so. Remedial training was mandated by Congress in section 208 of the airline safety act. 14 CFR 121.415, published in November, 2013, requires this training.</w:t>
      </w:r>
    </w:p>
    <w:p w14:paraId="2041B75F" w14:textId="77777777" w:rsidR="000E1F2E" w:rsidRDefault="000E1F2E">
      <w:pPr>
        <w:pStyle w:val="Body"/>
        <w:jc w:val="both"/>
        <w:rPr>
          <w:sz w:val="24"/>
          <w:szCs w:val="24"/>
        </w:rPr>
      </w:pPr>
    </w:p>
    <w:p w14:paraId="14248344" w14:textId="77777777" w:rsidR="000E1F2E" w:rsidRDefault="00E1617B">
      <w:pPr>
        <w:pStyle w:val="Body"/>
        <w:jc w:val="both"/>
        <w:rPr>
          <w:b/>
          <w:bCs/>
          <w:sz w:val="24"/>
          <w:szCs w:val="24"/>
        </w:rPr>
      </w:pPr>
      <w:r>
        <w:rPr>
          <w:sz w:val="24"/>
          <w:szCs w:val="24"/>
        </w:rPr>
        <w:tab/>
        <w:t>The major rewrite of airline training that includes remedial training does not become effective until March, 2019. Air carriers should be working now to ensure their training programs are robust and ready for implementation by that time. Improved pilot records - part of a new pilot records database - should assist remediation when the database is fully in place.</w:t>
      </w:r>
    </w:p>
    <w:p w14:paraId="57CC93AE" w14:textId="77777777" w:rsidR="000E1F2E" w:rsidRDefault="000E1F2E">
      <w:pPr>
        <w:pStyle w:val="Body"/>
        <w:jc w:val="both"/>
        <w:rPr>
          <w:b/>
          <w:bCs/>
          <w:sz w:val="24"/>
          <w:szCs w:val="24"/>
        </w:rPr>
      </w:pPr>
    </w:p>
    <w:p w14:paraId="5E4A5B17" w14:textId="77777777" w:rsidR="000E1F2E" w:rsidRDefault="00E1617B">
      <w:pPr>
        <w:pStyle w:val="Body"/>
        <w:jc w:val="both"/>
        <w:rPr>
          <w:b/>
          <w:bCs/>
          <w:sz w:val="24"/>
          <w:szCs w:val="24"/>
        </w:rPr>
      </w:pPr>
      <w:r>
        <w:rPr>
          <w:b/>
          <w:bCs/>
          <w:sz w:val="24"/>
          <w:szCs w:val="24"/>
        </w:rPr>
        <w:tab/>
        <w:t>Professional Development Training</w:t>
      </w:r>
    </w:p>
    <w:p w14:paraId="65957C3C" w14:textId="77777777" w:rsidR="000E1F2E" w:rsidRDefault="000E1F2E">
      <w:pPr>
        <w:pStyle w:val="Body"/>
        <w:jc w:val="both"/>
        <w:rPr>
          <w:b/>
          <w:bCs/>
          <w:sz w:val="24"/>
          <w:szCs w:val="24"/>
        </w:rPr>
      </w:pPr>
    </w:p>
    <w:p w14:paraId="32CC05CE" w14:textId="77777777" w:rsidR="000E1F2E" w:rsidRDefault="00E1617B">
      <w:pPr>
        <w:pStyle w:val="Body"/>
        <w:jc w:val="both"/>
        <w:rPr>
          <w:sz w:val="24"/>
          <w:szCs w:val="24"/>
        </w:rPr>
      </w:pPr>
      <w:r>
        <w:rPr>
          <w:b/>
          <w:bCs/>
          <w:sz w:val="24"/>
          <w:szCs w:val="24"/>
        </w:rPr>
        <w:tab/>
      </w:r>
      <w:r>
        <w:rPr>
          <w:sz w:val="24"/>
          <w:szCs w:val="24"/>
        </w:rPr>
        <w:t xml:space="preserve">The NTSB report addressed professionalism and leadership in three recommendations, asking the FAA to create a new advisory circular (AC), mandate training, and produce a multimedia presentation on the subject. In addition, the NTSB held a public forum on pilot and controller professionalism in May, 2010 as a follow-up to the accident report. Section 206 of the airline safety act required that airlines establish mentoring programs, professional development committees, and additional leadership training. The law specifically addressed compliance with the existing sterile cockpit rule. </w:t>
      </w:r>
    </w:p>
    <w:p w14:paraId="58077AEA" w14:textId="77777777" w:rsidR="000E1F2E" w:rsidRDefault="000E1F2E">
      <w:pPr>
        <w:pStyle w:val="Body"/>
        <w:jc w:val="both"/>
        <w:rPr>
          <w:sz w:val="24"/>
          <w:szCs w:val="24"/>
        </w:rPr>
      </w:pPr>
    </w:p>
    <w:p w14:paraId="32033CFF" w14:textId="77777777" w:rsidR="000E1F2E" w:rsidRDefault="00E1617B">
      <w:pPr>
        <w:pStyle w:val="Body"/>
        <w:jc w:val="both"/>
        <w:rPr>
          <w:sz w:val="24"/>
          <w:szCs w:val="24"/>
        </w:rPr>
      </w:pPr>
      <w:r>
        <w:rPr>
          <w:sz w:val="24"/>
          <w:szCs w:val="24"/>
        </w:rPr>
        <w:tab/>
        <w:t>The NTSB’s analysis of the accident crew’s conversation concluded the crew was not following that rule and were distracted before the stall warning occurred. The investigation also found the accident FO used her cellphone during pre-departure taxi, a violation of 14 CFR Part 121.306. The NTSB asked the FAA to mandate use of checklists to ensure personal electronic devices were not used during critical phases of flight, but the FAA did not agree.</w:t>
      </w:r>
    </w:p>
    <w:p w14:paraId="4147E23F" w14:textId="77777777" w:rsidR="000E1F2E" w:rsidRDefault="000E1F2E">
      <w:pPr>
        <w:pStyle w:val="Body"/>
        <w:jc w:val="both"/>
        <w:rPr>
          <w:sz w:val="24"/>
          <w:szCs w:val="24"/>
        </w:rPr>
      </w:pPr>
    </w:p>
    <w:p w14:paraId="7DBF5C08" w14:textId="77777777" w:rsidR="000E1F2E" w:rsidRDefault="00E1617B">
      <w:pPr>
        <w:pStyle w:val="Body"/>
        <w:jc w:val="both"/>
        <w:rPr>
          <w:sz w:val="24"/>
          <w:szCs w:val="24"/>
        </w:rPr>
      </w:pPr>
      <w:r>
        <w:rPr>
          <w:sz w:val="24"/>
          <w:szCs w:val="24"/>
        </w:rPr>
        <w:tab/>
        <w:t>The FAA issued a Notice of Proposed Rulemaking (NPRM) in October, 2016 on Pilot Professional Development.</w:t>
      </w:r>
      <w:r>
        <w:rPr>
          <w:b/>
          <w:bCs/>
          <w:sz w:val="24"/>
          <w:szCs w:val="24"/>
          <w:vertAlign w:val="superscript"/>
        </w:rPr>
        <w:endnoteReference w:id="17"/>
      </w:r>
      <w:r>
        <w:rPr>
          <w:sz w:val="24"/>
          <w:szCs w:val="24"/>
        </w:rPr>
        <w:t xml:space="preserve"> The new rule will add familiarization flights and leadership and mentoring training to air carrier training and will add pilot professional development committees (PPDC’s) to airline organizations. When the FAA proposed rule is implemented it should meet or exceed the NTSB recommendations on professionalism for operations under 14 CFR Part 121. The new pilot professional </w:t>
      </w:r>
      <w:r>
        <w:rPr>
          <w:sz w:val="24"/>
          <w:szCs w:val="24"/>
        </w:rPr>
        <w:lastRenderedPageBreak/>
        <w:t>development rules will be in addition to previous rules and programs put forth to influence or direct pilot behavior, including the sterile cockpit rule, crew resource management (CRM) training and programs such as pilot union professional standards committees.</w:t>
      </w:r>
    </w:p>
    <w:p w14:paraId="313A943F" w14:textId="77777777" w:rsidR="000E1F2E" w:rsidRDefault="000E1F2E">
      <w:pPr>
        <w:pStyle w:val="Body"/>
        <w:jc w:val="both"/>
        <w:rPr>
          <w:sz w:val="24"/>
          <w:szCs w:val="24"/>
        </w:rPr>
      </w:pPr>
    </w:p>
    <w:p w14:paraId="2F55F9BF" w14:textId="77777777" w:rsidR="000E1F2E" w:rsidRDefault="00E1617B">
      <w:pPr>
        <w:pStyle w:val="Body"/>
        <w:jc w:val="both"/>
        <w:rPr>
          <w:sz w:val="24"/>
          <w:szCs w:val="24"/>
        </w:rPr>
      </w:pPr>
      <w:r>
        <w:rPr>
          <w:sz w:val="24"/>
          <w:szCs w:val="24"/>
        </w:rPr>
        <w:tab/>
        <w:t>The underlying purpose of the NTSB recommendations and public forum on professionalism was to reach every pilot with the message that disciplined, attentive, cooperative behavior is the standard pilots should aspire to. There are still too many accidents and incidents in which pilots do not meet those standards. It will take greater determination by crew members to achieve this end. Strong advocacy from institutional leaders will help.</w:t>
      </w:r>
    </w:p>
    <w:p w14:paraId="105AEB75" w14:textId="77777777" w:rsidR="000E1F2E" w:rsidRDefault="000E1F2E">
      <w:pPr>
        <w:pStyle w:val="Body"/>
        <w:jc w:val="both"/>
        <w:rPr>
          <w:sz w:val="24"/>
          <w:szCs w:val="24"/>
        </w:rPr>
      </w:pPr>
    </w:p>
    <w:p w14:paraId="0B079D88" w14:textId="77777777" w:rsidR="000E1F2E" w:rsidRDefault="000E1F2E">
      <w:pPr>
        <w:pStyle w:val="Body"/>
        <w:jc w:val="both"/>
        <w:rPr>
          <w:sz w:val="24"/>
          <w:szCs w:val="24"/>
        </w:rPr>
      </w:pPr>
    </w:p>
    <w:p w14:paraId="3E331C75" w14:textId="77777777" w:rsidR="000E1F2E" w:rsidRDefault="00E1617B">
      <w:pPr>
        <w:pStyle w:val="Body"/>
        <w:jc w:val="both"/>
        <w:rPr>
          <w:b/>
          <w:bCs/>
          <w:sz w:val="26"/>
          <w:szCs w:val="26"/>
        </w:rPr>
      </w:pPr>
      <w:r>
        <w:rPr>
          <w:b/>
          <w:bCs/>
          <w:sz w:val="26"/>
          <w:szCs w:val="26"/>
        </w:rPr>
        <w:t>Safety Management</w:t>
      </w:r>
    </w:p>
    <w:p w14:paraId="49D79B3B" w14:textId="77777777" w:rsidR="000E1F2E" w:rsidRDefault="000E1F2E">
      <w:pPr>
        <w:pStyle w:val="Body"/>
        <w:jc w:val="both"/>
        <w:rPr>
          <w:b/>
          <w:bCs/>
          <w:sz w:val="26"/>
          <w:szCs w:val="26"/>
        </w:rPr>
      </w:pPr>
    </w:p>
    <w:p w14:paraId="6F6B0165" w14:textId="77777777" w:rsidR="000E1F2E" w:rsidRDefault="00E1617B">
      <w:pPr>
        <w:pStyle w:val="Body"/>
        <w:jc w:val="both"/>
        <w:rPr>
          <w:b/>
          <w:bCs/>
          <w:sz w:val="24"/>
          <w:szCs w:val="24"/>
        </w:rPr>
      </w:pPr>
      <w:r>
        <w:rPr>
          <w:b/>
          <w:bCs/>
          <w:sz w:val="26"/>
          <w:szCs w:val="26"/>
        </w:rPr>
        <w:tab/>
        <w:t xml:space="preserve">Fatigue and </w:t>
      </w:r>
      <w:r>
        <w:rPr>
          <w:b/>
          <w:bCs/>
          <w:sz w:val="24"/>
          <w:szCs w:val="24"/>
        </w:rPr>
        <w:t>Commuter Policies</w:t>
      </w:r>
    </w:p>
    <w:p w14:paraId="77216D29" w14:textId="77777777" w:rsidR="000E1F2E" w:rsidRDefault="000E1F2E">
      <w:pPr>
        <w:pStyle w:val="Body"/>
        <w:jc w:val="both"/>
        <w:rPr>
          <w:b/>
          <w:bCs/>
          <w:sz w:val="24"/>
          <w:szCs w:val="24"/>
        </w:rPr>
      </w:pPr>
    </w:p>
    <w:p w14:paraId="5865A645" w14:textId="77777777" w:rsidR="000E1F2E" w:rsidRDefault="00E1617B">
      <w:pPr>
        <w:pStyle w:val="Body"/>
        <w:jc w:val="both"/>
        <w:rPr>
          <w:sz w:val="24"/>
          <w:szCs w:val="24"/>
        </w:rPr>
      </w:pPr>
      <w:r>
        <w:rPr>
          <w:b/>
          <w:bCs/>
          <w:sz w:val="24"/>
          <w:szCs w:val="24"/>
        </w:rPr>
        <w:tab/>
      </w:r>
      <w:r>
        <w:rPr>
          <w:sz w:val="24"/>
          <w:szCs w:val="24"/>
        </w:rPr>
        <w:t xml:space="preserve">The </w:t>
      </w:r>
      <w:proofErr w:type="spellStart"/>
      <w:r>
        <w:rPr>
          <w:sz w:val="24"/>
          <w:szCs w:val="24"/>
        </w:rPr>
        <w:t>Colgan</w:t>
      </w:r>
      <w:proofErr w:type="spellEnd"/>
      <w:r>
        <w:rPr>
          <w:sz w:val="24"/>
          <w:szCs w:val="24"/>
        </w:rPr>
        <w:t xml:space="preserve"> report included a recommendation that specifically addressed fatigue caused by pilot commuting and placed responsibility for a solution on both pilots and air carriers. NTSB investigators surveyed the </w:t>
      </w:r>
      <w:proofErr w:type="spellStart"/>
      <w:r>
        <w:rPr>
          <w:sz w:val="24"/>
          <w:szCs w:val="24"/>
        </w:rPr>
        <w:t>Colgan</w:t>
      </w:r>
      <w:proofErr w:type="spellEnd"/>
      <w:r>
        <w:rPr>
          <w:sz w:val="24"/>
          <w:szCs w:val="24"/>
        </w:rPr>
        <w:t xml:space="preserve"> pilots and learned that almost 70% commuted in to the base for their flights. The accident crew had done so, and had poor rest as a result. </w:t>
      </w:r>
    </w:p>
    <w:p w14:paraId="4EA87FF4" w14:textId="77777777" w:rsidR="000E1F2E" w:rsidRDefault="000E1F2E">
      <w:pPr>
        <w:pStyle w:val="Body"/>
        <w:jc w:val="both"/>
        <w:rPr>
          <w:sz w:val="24"/>
          <w:szCs w:val="24"/>
        </w:rPr>
      </w:pPr>
    </w:p>
    <w:p w14:paraId="31419A25" w14:textId="77777777" w:rsidR="000E1F2E" w:rsidRDefault="00E1617B">
      <w:pPr>
        <w:pStyle w:val="Body"/>
        <w:jc w:val="both"/>
        <w:rPr>
          <w:sz w:val="24"/>
          <w:szCs w:val="24"/>
        </w:rPr>
      </w:pPr>
      <w:r>
        <w:rPr>
          <w:sz w:val="24"/>
          <w:szCs w:val="24"/>
        </w:rPr>
        <w:tab/>
        <w:t>Section 212 of the airline safety act mandated that the FAA would issue new regulations on pilot flight and duty time based on the best available scientific information. These regulations were to include the effects of commuting. The FAA issued a final rule, “</w:t>
      </w:r>
      <w:proofErr w:type="spellStart"/>
      <w:r>
        <w:rPr>
          <w:sz w:val="24"/>
          <w:szCs w:val="24"/>
        </w:rPr>
        <w:t>Flightcrew</w:t>
      </w:r>
      <w:proofErr w:type="spellEnd"/>
      <w:r>
        <w:rPr>
          <w:sz w:val="24"/>
          <w:szCs w:val="24"/>
        </w:rPr>
        <w:t xml:space="preserve"> Member Duty and Rest Requirements,” in January, 2012,</w:t>
      </w:r>
      <w:r>
        <w:rPr>
          <w:b/>
          <w:bCs/>
          <w:sz w:val="24"/>
          <w:szCs w:val="24"/>
          <w:vertAlign w:val="superscript"/>
        </w:rPr>
        <w:endnoteReference w:id="18"/>
      </w:r>
      <w:r>
        <w:rPr>
          <w:sz w:val="24"/>
          <w:szCs w:val="24"/>
        </w:rPr>
        <w:t xml:space="preserve"> establishing the new 14 CFR Part 117 governing fatigue management for passenger airline pilots. The rule became effective in December, 2014. The new regulation included a provision, 117.5, “Fitness for Duty,” that placed responsibility for fatigue on both the operator and the crew member. The FAA also mandated a fatigue risk management system and issued an AC on the subject in 2013.</w:t>
      </w:r>
    </w:p>
    <w:p w14:paraId="3CC34380" w14:textId="77777777" w:rsidR="000E1F2E" w:rsidRDefault="000E1F2E">
      <w:pPr>
        <w:pStyle w:val="Body"/>
        <w:jc w:val="both"/>
        <w:rPr>
          <w:sz w:val="24"/>
          <w:szCs w:val="24"/>
        </w:rPr>
      </w:pPr>
    </w:p>
    <w:p w14:paraId="2A0158F9" w14:textId="77777777" w:rsidR="000E1F2E" w:rsidRDefault="00E1617B">
      <w:pPr>
        <w:pStyle w:val="Body"/>
        <w:jc w:val="both"/>
        <w:rPr>
          <w:sz w:val="24"/>
          <w:szCs w:val="24"/>
        </w:rPr>
      </w:pPr>
      <w:r>
        <w:rPr>
          <w:sz w:val="24"/>
          <w:szCs w:val="24"/>
        </w:rPr>
        <w:tab/>
        <w:t>Although the FAA’s actions were a quantum leap forward for fatigue management, the NTSB thought there were two flaws. Part 117 only pertained to Part 121 passenger airlines, because the air cargo industry obtained what was known as a “</w:t>
      </w:r>
      <w:proofErr w:type="spellStart"/>
      <w:r>
        <w:rPr>
          <w:sz w:val="24"/>
          <w:szCs w:val="24"/>
        </w:rPr>
        <w:t>carveout</w:t>
      </w:r>
      <w:proofErr w:type="spellEnd"/>
      <w:r>
        <w:rPr>
          <w:sz w:val="24"/>
          <w:szCs w:val="24"/>
        </w:rPr>
        <w:t>,” allowing them to remain under the existing Part 121 rules. In addition, airline responsibilities regarding pilot commuting were not addressed in specific detail.</w:t>
      </w:r>
    </w:p>
    <w:p w14:paraId="10BF0946" w14:textId="77777777" w:rsidR="000E1F2E" w:rsidRDefault="000E1F2E">
      <w:pPr>
        <w:pStyle w:val="Body"/>
        <w:jc w:val="both"/>
        <w:rPr>
          <w:sz w:val="24"/>
          <w:szCs w:val="24"/>
        </w:rPr>
      </w:pPr>
    </w:p>
    <w:p w14:paraId="0BD37A7B" w14:textId="77777777" w:rsidR="000E1F2E" w:rsidRDefault="00E1617B">
      <w:pPr>
        <w:pStyle w:val="Body"/>
        <w:jc w:val="both"/>
        <w:rPr>
          <w:sz w:val="24"/>
          <w:szCs w:val="24"/>
        </w:rPr>
      </w:pPr>
      <w:r>
        <w:rPr>
          <w:sz w:val="24"/>
          <w:szCs w:val="24"/>
        </w:rPr>
        <w:tab/>
        <w:t xml:space="preserve">Pilot commuting is probably still just as prevalent today as it was in 2009. The structure of the industry dictates that pilots must move from location to location as they change companies and as those companies grow or shrink their bases. Some hub cities like New York are still too expensive for many pilots to afford. Companies will need to keep close track of where their pilots live and monitor the commuting action of pilots </w:t>
      </w:r>
      <w:r>
        <w:rPr>
          <w:sz w:val="24"/>
          <w:szCs w:val="24"/>
        </w:rPr>
        <w:lastRenderedPageBreak/>
        <w:t>who have the most difficult commutes. Company rest facilities and subsidies for moves may be necessary. Paired with this action, commuting pilots will have to allow more time to travel to and from their bases. Pilots will need to recognize when they are in an untenable situation and move to their base, change bases or even change jobs. A systematic solution to commuting fatigue at airlines has not yet been found.</w:t>
      </w:r>
    </w:p>
    <w:p w14:paraId="4B0E6F10" w14:textId="77777777" w:rsidR="000E1F2E" w:rsidRDefault="000E1F2E">
      <w:pPr>
        <w:pStyle w:val="Body"/>
        <w:jc w:val="both"/>
        <w:rPr>
          <w:b/>
          <w:bCs/>
          <w:sz w:val="24"/>
          <w:szCs w:val="24"/>
        </w:rPr>
      </w:pPr>
    </w:p>
    <w:p w14:paraId="03C7A35D" w14:textId="77777777" w:rsidR="000E1F2E" w:rsidRDefault="00E1617B">
      <w:pPr>
        <w:pStyle w:val="Body"/>
        <w:jc w:val="both"/>
        <w:rPr>
          <w:b/>
          <w:bCs/>
          <w:sz w:val="24"/>
          <w:szCs w:val="24"/>
        </w:rPr>
      </w:pPr>
      <w:r>
        <w:rPr>
          <w:b/>
          <w:bCs/>
          <w:sz w:val="24"/>
          <w:szCs w:val="24"/>
        </w:rPr>
        <w:tab/>
        <w:t>FOQA and SMS</w:t>
      </w:r>
    </w:p>
    <w:p w14:paraId="1CD2E581" w14:textId="77777777" w:rsidR="000E1F2E" w:rsidRDefault="000E1F2E">
      <w:pPr>
        <w:pStyle w:val="Body"/>
        <w:jc w:val="both"/>
        <w:rPr>
          <w:b/>
          <w:bCs/>
          <w:sz w:val="24"/>
          <w:szCs w:val="24"/>
        </w:rPr>
      </w:pPr>
    </w:p>
    <w:p w14:paraId="61BB3A9C" w14:textId="77777777" w:rsidR="000E1F2E" w:rsidRDefault="00E1617B">
      <w:pPr>
        <w:pStyle w:val="Body"/>
        <w:jc w:val="both"/>
        <w:rPr>
          <w:sz w:val="24"/>
          <w:szCs w:val="24"/>
        </w:rPr>
      </w:pPr>
      <w:r>
        <w:rPr>
          <w:b/>
          <w:bCs/>
          <w:sz w:val="24"/>
          <w:szCs w:val="24"/>
        </w:rPr>
        <w:tab/>
      </w:r>
      <w:r>
        <w:rPr>
          <w:sz w:val="24"/>
          <w:szCs w:val="24"/>
        </w:rPr>
        <w:t>There were three recommendations addressing the implementation of flight operational quality assurance (FOQA)</w:t>
      </w:r>
      <w:r>
        <w:rPr>
          <w:b/>
          <w:bCs/>
          <w:sz w:val="24"/>
          <w:szCs w:val="24"/>
          <w:vertAlign w:val="superscript"/>
        </w:rPr>
        <w:endnoteReference w:id="19"/>
      </w:r>
      <w:r>
        <w:rPr>
          <w:sz w:val="24"/>
          <w:szCs w:val="24"/>
        </w:rPr>
        <w:t xml:space="preserve"> programs in the </w:t>
      </w:r>
      <w:proofErr w:type="spellStart"/>
      <w:r>
        <w:rPr>
          <w:sz w:val="24"/>
          <w:szCs w:val="24"/>
        </w:rPr>
        <w:t>Colgan</w:t>
      </w:r>
      <w:proofErr w:type="spellEnd"/>
      <w:r>
        <w:rPr>
          <w:sz w:val="24"/>
          <w:szCs w:val="24"/>
        </w:rPr>
        <w:t xml:space="preserve"> report. The NTSB wanted FOQA to be mandated for all commercial operators, subject to obtaining the necessary statutory or regulatory authority to fully protect the data. The Board also recommended use of all available data sources - in part a reference to cockpit voice recorder (CVR) data. The Board had previously recommended safety management systems (SMS’s) for all operators. FOQA programs are typically a major part of an SMS program. Section 215 of the airline safety act mandated that Part 121 airlines adopt SMS’s and consider including FOQA within these SMS programs.</w:t>
      </w:r>
    </w:p>
    <w:p w14:paraId="66C46E14" w14:textId="77777777" w:rsidR="000E1F2E" w:rsidRDefault="000E1F2E">
      <w:pPr>
        <w:pStyle w:val="Body"/>
        <w:jc w:val="both"/>
        <w:rPr>
          <w:sz w:val="24"/>
          <w:szCs w:val="24"/>
        </w:rPr>
      </w:pPr>
    </w:p>
    <w:p w14:paraId="18BFD554" w14:textId="77777777" w:rsidR="000E1F2E" w:rsidRDefault="00E1617B">
      <w:pPr>
        <w:pStyle w:val="Body"/>
        <w:jc w:val="both"/>
        <w:rPr>
          <w:sz w:val="24"/>
          <w:szCs w:val="24"/>
        </w:rPr>
      </w:pPr>
      <w:r>
        <w:rPr>
          <w:sz w:val="24"/>
          <w:szCs w:val="24"/>
        </w:rPr>
        <w:tab/>
        <w:t xml:space="preserve">The International Civil Aviation Organization (ICAO) requires member </w:t>
      </w:r>
      <w:proofErr w:type="gramStart"/>
      <w:r>
        <w:rPr>
          <w:sz w:val="24"/>
          <w:szCs w:val="24"/>
        </w:rPr>
        <w:t>countries  to</w:t>
      </w:r>
      <w:proofErr w:type="gramEnd"/>
      <w:r>
        <w:rPr>
          <w:sz w:val="24"/>
          <w:szCs w:val="24"/>
        </w:rPr>
        <w:t xml:space="preserve"> require flight data analysis programs (FDAP) as part of an SMS. FOQA is an FDAP type program. It is FAA policy to conform to ICAO Standards and Recommended Practices to the maximum extent practicable.</w:t>
      </w:r>
    </w:p>
    <w:p w14:paraId="1267A5C0" w14:textId="77777777" w:rsidR="000E1F2E" w:rsidRDefault="000E1F2E">
      <w:pPr>
        <w:pStyle w:val="Body"/>
        <w:jc w:val="both"/>
        <w:rPr>
          <w:sz w:val="24"/>
          <w:szCs w:val="24"/>
        </w:rPr>
      </w:pPr>
    </w:p>
    <w:p w14:paraId="2D4E6D00" w14:textId="77777777" w:rsidR="000E1F2E" w:rsidRDefault="00E1617B">
      <w:pPr>
        <w:pStyle w:val="Body"/>
        <w:jc w:val="both"/>
        <w:rPr>
          <w:sz w:val="24"/>
          <w:szCs w:val="24"/>
        </w:rPr>
      </w:pPr>
      <w:r>
        <w:rPr>
          <w:sz w:val="24"/>
          <w:szCs w:val="24"/>
        </w:rPr>
        <w:tab/>
        <w:t xml:space="preserve">Accident investigators found that if </w:t>
      </w:r>
      <w:proofErr w:type="spellStart"/>
      <w:r>
        <w:rPr>
          <w:sz w:val="24"/>
          <w:szCs w:val="24"/>
        </w:rPr>
        <w:t>Colgan</w:t>
      </w:r>
      <w:proofErr w:type="spellEnd"/>
      <w:r>
        <w:rPr>
          <w:sz w:val="24"/>
          <w:szCs w:val="24"/>
        </w:rPr>
        <w:t xml:space="preserve"> and other Q400 operators had adopted FOQA programs they might well have discovered how often pilots </w:t>
      </w:r>
      <w:proofErr w:type="spellStart"/>
      <w:r>
        <w:rPr>
          <w:sz w:val="24"/>
          <w:szCs w:val="24"/>
        </w:rPr>
        <w:t>mis</w:t>
      </w:r>
      <w:proofErr w:type="spellEnd"/>
      <w:r>
        <w:rPr>
          <w:sz w:val="24"/>
          <w:szCs w:val="24"/>
        </w:rPr>
        <w:t xml:space="preserve">-set the airplane’s “ref speed switch,” resulting in premature stall warning activations such as happened in the </w:t>
      </w:r>
      <w:proofErr w:type="spellStart"/>
      <w:r>
        <w:rPr>
          <w:sz w:val="24"/>
          <w:szCs w:val="24"/>
        </w:rPr>
        <w:t>Colgan</w:t>
      </w:r>
      <w:proofErr w:type="spellEnd"/>
      <w:r>
        <w:rPr>
          <w:sz w:val="24"/>
          <w:szCs w:val="24"/>
        </w:rPr>
        <w:t xml:space="preserve"> accident. At the time of the accident, most regional airlines did not have FOQA programs and none were required.</w:t>
      </w:r>
    </w:p>
    <w:p w14:paraId="34B85FF5" w14:textId="77777777" w:rsidR="000E1F2E" w:rsidRDefault="000E1F2E">
      <w:pPr>
        <w:pStyle w:val="Body"/>
        <w:jc w:val="both"/>
        <w:rPr>
          <w:sz w:val="24"/>
          <w:szCs w:val="24"/>
        </w:rPr>
      </w:pPr>
    </w:p>
    <w:p w14:paraId="2046145F" w14:textId="77777777" w:rsidR="000E1F2E" w:rsidRDefault="00E1617B">
      <w:pPr>
        <w:pStyle w:val="Body"/>
        <w:jc w:val="both"/>
        <w:rPr>
          <w:sz w:val="24"/>
          <w:szCs w:val="24"/>
        </w:rPr>
      </w:pPr>
      <w:r>
        <w:rPr>
          <w:sz w:val="24"/>
          <w:szCs w:val="24"/>
        </w:rPr>
        <w:tab/>
        <w:t>In June, 2009, the FAA administrator encouraged airlines to set up FOQA programs, and by January, 2010, 11 regional airlines had begun to do so.</w:t>
      </w:r>
      <w:r>
        <w:rPr>
          <w:b/>
          <w:bCs/>
          <w:sz w:val="24"/>
          <w:szCs w:val="24"/>
          <w:vertAlign w:val="superscript"/>
        </w:rPr>
        <w:endnoteReference w:id="20"/>
      </w:r>
      <w:r>
        <w:rPr>
          <w:sz w:val="24"/>
          <w:szCs w:val="24"/>
        </w:rPr>
        <w:t xml:space="preserve">  By February, 2013, FAA reported that 39 airlines (about half of part 121 airlines) had set up FOQA programs. In January of 2015, the FAA published a final rule requiring Part 121 airlines to have SMS programs.</w:t>
      </w:r>
      <w:r>
        <w:rPr>
          <w:b/>
          <w:bCs/>
          <w:sz w:val="24"/>
          <w:szCs w:val="24"/>
          <w:vertAlign w:val="superscript"/>
        </w:rPr>
        <w:endnoteReference w:id="21"/>
      </w:r>
      <w:r>
        <w:rPr>
          <w:sz w:val="24"/>
          <w:szCs w:val="24"/>
        </w:rPr>
        <w:t xml:space="preserve"> However, the agency did not require FOQA. Congress did not provide the statutory support the Board wanted the FAA to obtain for mandatory FOQA.</w:t>
      </w:r>
      <w:r>
        <w:rPr>
          <w:b/>
          <w:bCs/>
          <w:sz w:val="24"/>
          <w:szCs w:val="24"/>
          <w:vertAlign w:val="superscript"/>
        </w:rPr>
        <w:endnoteReference w:id="22"/>
      </w:r>
      <w:r>
        <w:rPr>
          <w:sz w:val="24"/>
          <w:szCs w:val="24"/>
        </w:rPr>
        <w:t xml:space="preserve"> The FAA also felt FOQA was cost prohibitive or impractical for some smaller airlines and older airplanes. </w:t>
      </w:r>
    </w:p>
    <w:p w14:paraId="3B88363C" w14:textId="77777777" w:rsidR="000E1F2E" w:rsidRDefault="000E1F2E">
      <w:pPr>
        <w:pStyle w:val="Body"/>
        <w:jc w:val="both"/>
        <w:rPr>
          <w:sz w:val="24"/>
          <w:szCs w:val="24"/>
        </w:rPr>
      </w:pPr>
    </w:p>
    <w:p w14:paraId="73957EB3" w14:textId="77777777" w:rsidR="000E1F2E" w:rsidRDefault="00E1617B">
      <w:pPr>
        <w:pStyle w:val="Body"/>
        <w:jc w:val="both"/>
        <w:rPr>
          <w:b/>
          <w:bCs/>
          <w:sz w:val="24"/>
          <w:szCs w:val="24"/>
        </w:rPr>
      </w:pPr>
      <w:r>
        <w:rPr>
          <w:sz w:val="24"/>
          <w:szCs w:val="24"/>
        </w:rPr>
        <w:tab/>
        <w:t xml:space="preserve">As audio and video recording technology continues to improve, even flight schools and corporate operators are adopting flight data monitoring systems. As the cost of systems drops and becomes more miniaturized, FOQA type programs become more and more feasible for all. While voluntary compliance is still the rule for airline FOQA programs in the U.S., the </w:t>
      </w:r>
      <w:proofErr w:type="spellStart"/>
      <w:r>
        <w:rPr>
          <w:sz w:val="24"/>
          <w:szCs w:val="24"/>
        </w:rPr>
        <w:t>Colgan</w:t>
      </w:r>
      <w:proofErr w:type="spellEnd"/>
      <w:r>
        <w:rPr>
          <w:sz w:val="24"/>
          <w:szCs w:val="24"/>
        </w:rPr>
        <w:t xml:space="preserve"> investigation showed the public has a stake in </w:t>
      </w:r>
      <w:r>
        <w:rPr>
          <w:sz w:val="24"/>
          <w:szCs w:val="24"/>
        </w:rPr>
        <w:lastRenderedPageBreak/>
        <w:t>airline safety too. The public should know which operators have robust FOQA programs and which ones do not.</w:t>
      </w:r>
    </w:p>
    <w:p w14:paraId="492A903D" w14:textId="77777777" w:rsidR="000E1F2E" w:rsidRDefault="000E1F2E">
      <w:pPr>
        <w:pStyle w:val="Body"/>
        <w:jc w:val="both"/>
        <w:rPr>
          <w:b/>
          <w:bCs/>
          <w:sz w:val="26"/>
          <w:szCs w:val="26"/>
        </w:rPr>
      </w:pPr>
    </w:p>
    <w:p w14:paraId="00EC4DB4" w14:textId="77777777" w:rsidR="000E1F2E" w:rsidRDefault="000E1F2E">
      <w:pPr>
        <w:pStyle w:val="Body"/>
        <w:jc w:val="both"/>
        <w:rPr>
          <w:b/>
          <w:bCs/>
          <w:sz w:val="24"/>
          <w:szCs w:val="24"/>
        </w:rPr>
      </w:pPr>
    </w:p>
    <w:p w14:paraId="046DA831" w14:textId="77777777" w:rsidR="000E1F2E" w:rsidRDefault="00E1617B">
      <w:pPr>
        <w:pStyle w:val="Body"/>
        <w:jc w:val="both"/>
        <w:rPr>
          <w:b/>
          <w:bCs/>
          <w:sz w:val="26"/>
          <w:szCs w:val="26"/>
        </w:rPr>
      </w:pPr>
      <w:r>
        <w:rPr>
          <w:b/>
          <w:bCs/>
          <w:sz w:val="26"/>
          <w:szCs w:val="26"/>
        </w:rPr>
        <w:t>FAA Oversight and Design Standards</w:t>
      </w:r>
    </w:p>
    <w:p w14:paraId="7DDA234F" w14:textId="77777777" w:rsidR="000E1F2E" w:rsidRDefault="000E1F2E">
      <w:pPr>
        <w:pStyle w:val="Body"/>
        <w:jc w:val="both"/>
        <w:rPr>
          <w:b/>
          <w:bCs/>
          <w:sz w:val="26"/>
          <w:szCs w:val="26"/>
        </w:rPr>
      </w:pPr>
    </w:p>
    <w:p w14:paraId="34898C49" w14:textId="77777777" w:rsidR="000E1F2E" w:rsidRDefault="00E1617B">
      <w:pPr>
        <w:pStyle w:val="Body"/>
        <w:jc w:val="both"/>
        <w:rPr>
          <w:b/>
          <w:bCs/>
          <w:sz w:val="24"/>
          <w:szCs w:val="24"/>
        </w:rPr>
      </w:pPr>
      <w:r>
        <w:rPr>
          <w:b/>
          <w:bCs/>
          <w:sz w:val="26"/>
          <w:szCs w:val="26"/>
        </w:rPr>
        <w:tab/>
      </w:r>
      <w:r>
        <w:rPr>
          <w:b/>
          <w:bCs/>
          <w:sz w:val="24"/>
          <w:szCs w:val="24"/>
        </w:rPr>
        <w:t>Simulator Fidelity</w:t>
      </w:r>
    </w:p>
    <w:p w14:paraId="1BD7AD68" w14:textId="77777777" w:rsidR="000E1F2E" w:rsidRDefault="000E1F2E">
      <w:pPr>
        <w:pStyle w:val="Body"/>
        <w:jc w:val="both"/>
        <w:rPr>
          <w:b/>
          <w:bCs/>
          <w:sz w:val="24"/>
          <w:szCs w:val="24"/>
        </w:rPr>
      </w:pPr>
    </w:p>
    <w:p w14:paraId="3C241CF0" w14:textId="77777777" w:rsidR="000E1F2E" w:rsidRDefault="00E1617B">
      <w:pPr>
        <w:pStyle w:val="Body"/>
        <w:jc w:val="both"/>
        <w:rPr>
          <w:sz w:val="24"/>
          <w:szCs w:val="24"/>
        </w:rPr>
      </w:pPr>
      <w:r>
        <w:rPr>
          <w:b/>
          <w:bCs/>
          <w:sz w:val="24"/>
          <w:szCs w:val="24"/>
        </w:rPr>
        <w:tab/>
      </w:r>
      <w:r>
        <w:rPr>
          <w:sz w:val="24"/>
          <w:szCs w:val="24"/>
        </w:rPr>
        <w:t xml:space="preserve">At the time of the </w:t>
      </w:r>
      <w:proofErr w:type="spellStart"/>
      <w:r>
        <w:rPr>
          <w:sz w:val="24"/>
          <w:szCs w:val="24"/>
        </w:rPr>
        <w:t>Colgan</w:t>
      </w:r>
      <w:proofErr w:type="spellEnd"/>
      <w:r>
        <w:rPr>
          <w:sz w:val="24"/>
          <w:szCs w:val="24"/>
        </w:rPr>
        <w:t xml:space="preserve"> accident, airline flight simulators could not accurately duplicate the actions of an airplane when it was fully stalled. An NTSB recommendation called for new simulator fidelity requirements that would support the new stall recovery training. The FAA put those requirements into effect in March, 2016 with the publication of a new rule, “Flight Simulation Training Device Qualification Standards for Extended Envelope and Adverse Weather Event Training Tasks.”</w:t>
      </w:r>
      <w:r>
        <w:rPr>
          <w:b/>
          <w:bCs/>
          <w:sz w:val="24"/>
          <w:szCs w:val="24"/>
          <w:vertAlign w:val="superscript"/>
        </w:rPr>
        <w:endnoteReference w:id="23"/>
      </w:r>
      <w:r>
        <w:rPr>
          <w:sz w:val="24"/>
          <w:szCs w:val="24"/>
        </w:rPr>
        <w:t xml:space="preserve"> The new simulator standards also required the ability to simulate upsets other than stalls, icing conditions, gusty crosswinds during takeoff and landing, and bounced landings. These requirements stemmed from earlier accident recommendations. Airlines had until March, 2019 to put these standards into effect.</w:t>
      </w:r>
    </w:p>
    <w:p w14:paraId="5076F8D4" w14:textId="77777777" w:rsidR="000E1F2E" w:rsidRDefault="000E1F2E">
      <w:pPr>
        <w:pStyle w:val="Body"/>
        <w:jc w:val="both"/>
        <w:rPr>
          <w:sz w:val="24"/>
          <w:szCs w:val="24"/>
        </w:rPr>
      </w:pPr>
    </w:p>
    <w:p w14:paraId="7F34CE74" w14:textId="77777777" w:rsidR="000E1F2E" w:rsidRDefault="00E1617B">
      <w:pPr>
        <w:pStyle w:val="Body"/>
        <w:jc w:val="both"/>
        <w:rPr>
          <w:sz w:val="24"/>
          <w:szCs w:val="24"/>
        </w:rPr>
      </w:pPr>
      <w:r>
        <w:rPr>
          <w:sz w:val="24"/>
          <w:szCs w:val="24"/>
        </w:rPr>
        <w:tab/>
        <w:t>Simulator manufacturers depend on airplane flight test data to model simulator flight path and flight control response. In the new rule, the FAA allows for aerodynamic stall models to be developed and validated using engineering and analytical methods, and requires the post-stall airplane behavior to be type-specific and sufficiently accurate to be able to conduct the necessary training. Subject matter experts (SME’s), typically type-experienced test pilots, will validate the accuracy of the modified simulators performances.</w:t>
      </w:r>
    </w:p>
    <w:p w14:paraId="27E1387F" w14:textId="77777777" w:rsidR="000E1F2E" w:rsidRDefault="000E1F2E">
      <w:pPr>
        <w:pStyle w:val="Body"/>
        <w:jc w:val="both"/>
        <w:rPr>
          <w:sz w:val="24"/>
          <w:szCs w:val="24"/>
        </w:rPr>
      </w:pPr>
    </w:p>
    <w:p w14:paraId="06411976" w14:textId="77777777" w:rsidR="000E1F2E" w:rsidRDefault="00E1617B">
      <w:pPr>
        <w:pStyle w:val="Body"/>
        <w:jc w:val="both"/>
        <w:rPr>
          <w:sz w:val="24"/>
          <w:szCs w:val="24"/>
        </w:rPr>
      </w:pPr>
      <w:r>
        <w:rPr>
          <w:sz w:val="24"/>
          <w:szCs w:val="24"/>
        </w:rPr>
        <w:tab/>
        <w:t xml:space="preserve">For many years, the lack of simulator accuracy prevented the aviation industry from moving forward in stall training. Improper training using old, inaccurate simulator motion models contributed to several accidents, and the FAA had concerns about “negative training.” The </w:t>
      </w:r>
      <w:proofErr w:type="spellStart"/>
      <w:r>
        <w:rPr>
          <w:sz w:val="24"/>
          <w:szCs w:val="24"/>
        </w:rPr>
        <w:t>Colgan</w:t>
      </w:r>
      <w:proofErr w:type="spellEnd"/>
      <w:r>
        <w:rPr>
          <w:sz w:val="24"/>
          <w:szCs w:val="24"/>
        </w:rPr>
        <w:t xml:space="preserve"> accident report caused a breakthrough in the resistance to changing simulators to allow the needed stall training.</w:t>
      </w:r>
    </w:p>
    <w:p w14:paraId="0A7A75A0" w14:textId="77777777" w:rsidR="000E1F2E" w:rsidRDefault="000E1F2E">
      <w:pPr>
        <w:pStyle w:val="Body"/>
        <w:jc w:val="both"/>
        <w:rPr>
          <w:sz w:val="24"/>
          <w:szCs w:val="24"/>
        </w:rPr>
      </w:pPr>
    </w:p>
    <w:p w14:paraId="16FF1F9E" w14:textId="77777777" w:rsidR="000E1F2E" w:rsidRDefault="00E1617B">
      <w:pPr>
        <w:pStyle w:val="Body"/>
        <w:jc w:val="both"/>
        <w:rPr>
          <w:b/>
          <w:bCs/>
          <w:sz w:val="24"/>
          <w:szCs w:val="24"/>
        </w:rPr>
      </w:pPr>
      <w:r>
        <w:rPr>
          <w:sz w:val="24"/>
          <w:szCs w:val="24"/>
        </w:rPr>
        <w:tab/>
        <w:t xml:space="preserve">According to an official at </w:t>
      </w:r>
      <w:proofErr w:type="spellStart"/>
      <w:r>
        <w:rPr>
          <w:sz w:val="24"/>
          <w:szCs w:val="24"/>
        </w:rPr>
        <w:t>Bihrle</w:t>
      </w:r>
      <w:proofErr w:type="spellEnd"/>
      <w:r>
        <w:rPr>
          <w:sz w:val="24"/>
          <w:szCs w:val="24"/>
        </w:rPr>
        <w:t xml:space="preserve"> Applied Research, a stall simulation provider, only about 5 out of 100 flight simulators in the U.S. contain the data necessary for full stall simulation at the present time.</w:t>
      </w:r>
      <w:r>
        <w:rPr>
          <w:b/>
          <w:bCs/>
          <w:sz w:val="24"/>
          <w:szCs w:val="24"/>
          <w:vertAlign w:val="superscript"/>
        </w:rPr>
        <w:endnoteReference w:id="24"/>
      </w:r>
      <w:r>
        <w:rPr>
          <w:sz w:val="24"/>
          <w:szCs w:val="24"/>
        </w:rPr>
        <w:t xml:space="preserve"> In the two years that remain before the FAA requirements go into effect, airlines will have to make investments in simulators and new training curricula. Further delays in proper stall training could result in another stall-related accident.</w:t>
      </w:r>
    </w:p>
    <w:p w14:paraId="546CB57B" w14:textId="77777777" w:rsidR="000E1F2E" w:rsidRDefault="000E1F2E">
      <w:pPr>
        <w:pStyle w:val="Body"/>
        <w:jc w:val="both"/>
        <w:rPr>
          <w:b/>
          <w:bCs/>
          <w:sz w:val="24"/>
          <w:szCs w:val="24"/>
        </w:rPr>
      </w:pPr>
    </w:p>
    <w:p w14:paraId="697B1BA7" w14:textId="77777777" w:rsidR="000E1F2E" w:rsidRDefault="00E1617B">
      <w:pPr>
        <w:pStyle w:val="Body"/>
        <w:jc w:val="both"/>
        <w:rPr>
          <w:b/>
          <w:bCs/>
          <w:sz w:val="24"/>
          <w:szCs w:val="24"/>
        </w:rPr>
      </w:pPr>
      <w:r>
        <w:rPr>
          <w:b/>
          <w:bCs/>
          <w:sz w:val="24"/>
          <w:szCs w:val="24"/>
        </w:rPr>
        <w:tab/>
        <w:t>Low Speed Cautions</w:t>
      </w:r>
    </w:p>
    <w:p w14:paraId="32E0CC0E" w14:textId="77777777" w:rsidR="000E1F2E" w:rsidRDefault="000E1F2E">
      <w:pPr>
        <w:pStyle w:val="Body"/>
        <w:jc w:val="both"/>
        <w:rPr>
          <w:b/>
          <w:bCs/>
          <w:sz w:val="24"/>
          <w:szCs w:val="24"/>
        </w:rPr>
      </w:pPr>
    </w:p>
    <w:p w14:paraId="75010E9F" w14:textId="77777777" w:rsidR="000E1F2E" w:rsidRDefault="00E1617B">
      <w:pPr>
        <w:pStyle w:val="Body"/>
        <w:jc w:val="both"/>
        <w:rPr>
          <w:b/>
          <w:bCs/>
          <w:sz w:val="24"/>
          <w:szCs w:val="24"/>
        </w:rPr>
      </w:pPr>
      <w:r>
        <w:rPr>
          <w:b/>
          <w:bCs/>
          <w:sz w:val="24"/>
          <w:szCs w:val="24"/>
        </w:rPr>
        <w:tab/>
      </w:r>
      <w:r>
        <w:rPr>
          <w:sz w:val="24"/>
          <w:szCs w:val="24"/>
        </w:rPr>
        <w:t xml:space="preserve">There were two recommendations in the </w:t>
      </w:r>
      <w:proofErr w:type="spellStart"/>
      <w:r>
        <w:rPr>
          <w:sz w:val="24"/>
          <w:szCs w:val="24"/>
        </w:rPr>
        <w:t>Colgan</w:t>
      </w:r>
      <w:proofErr w:type="spellEnd"/>
      <w:r>
        <w:rPr>
          <w:sz w:val="24"/>
          <w:szCs w:val="24"/>
        </w:rPr>
        <w:t xml:space="preserve"> report on the need for improved low speed warnings. Investigators found the accident airplane, while properly </w:t>
      </w:r>
      <w:r>
        <w:rPr>
          <w:sz w:val="24"/>
          <w:szCs w:val="24"/>
        </w:rPr>
        <w:lastRenderedPageBreak/>
        <w:t>certificated, had neither a low speed amber band on the airspeed indicator nor a low speed aural cue, and that both of these could have alerted the accident crew to a pending stall before the stall warning activated. The FAA changed the design standard for the amber band in January, 2011, but so far has not taken action on the aural cue.</w:t>
      </w:r>
    </w:p>
    <w:p w14:paraId="449AEC49" w14:textId="77777777" w:rsidR="000E1F2E" w:rsidRDefault="000E1F2E">
      <w:pPr>
        <w:pStyle w:val="Body"/>
        <w:jc w:val="both"/>
        <w:rPr>
          <w:b/>
          <w:bCs/>
          <w:sz w:val="24"/>
          <w:szCs w:val="24"/>
        </w:rPr>
      </w:pPr>
    </w:p>
    <w:p w14:paraId="0667968C" w14:textId="77777777" w:rsidR="000E1F2E" w:rsidRDefault="00E1617B">
      <w:pPr>
        <w:pStyle w:val="Body"/>
        <w:jc w:val="both"/>
        <w:rPr>
          <w:b/>
          <w:bCs/>
          <w:sz w:val="24"/>
          <w:szCs w:val="24"/>
        </w:rPr>
      </w:pPr>
      <w:r>
        <w:rPr>
          <w:b/>
          <w:bCs/>
          <w:sz w:val="24"/>
          <w:szCs w:val="24"/>
        </w:rPr>
        <w:tab/>
        <w:t>Surveillance</w:t>
      </w:r>
    </w:p>
    <w:p w14:paraId="4F072D29" w14:textId="77777777" w:rsidR="000E1F2E" w:rsidRDefault="000E1F2E">
      <w:pPr>
        <w:pStyle w:val="Body"/>
        <w:jc w:val="both"/>
        <w:rPr>
          <w:b/>
          <w:bCs/>
          <w:sz w:val="24"/>
          <w:szCs w:val="24"/>
        </w:rPr>
      </w:pPr>
    </w:p>
    <w:p w14:paraId="615C4F7D" w14:textId="77777777" w:rsidR="000E1F2E" w:rsidRDefault="00E1617B">
      <w:pPr>
        <w:pStyle w:val="Body"/>
        <w:jc w:val="both"/>
        <w:rPr>
          <w:sz w:val="24"/>
          <w:szCs w:val="24"/>
        </w:rPr>
      </w:pPr>
      <w:r>
        <w:rPr>
          <w:b/>
          <w:bCs/>
          <w:sz w:val="24"/>
          <w:szCs w:val="24"/>
        </w:rPr>
        <w:tab/>
      </w:r>
      <w:proofErr w:type="spellStart"/>
      <w:r>
        <w:rPr>
          <w:sz w:val="24"/>
          <w:szCs w:val="24"/>
        </w:rPr>
        <w:t>Colgan</w:t>
      </w:r>
      <w:proofErr w:type="spellEnd"/>
      <w:r>
        <w:rPr>
          <w:sz w:val="24"/>
          <w:szCs w:val="24"/>
        </w:rPr>
        <w:t xml:space="preserve"> was experiencing rapid growth at the time of the accident. The accident Q400 airplane type had only been in service at the airline for one year, and the company’s pilots were relatively new to the airplane. Investigators found the FAA inspectors assigned to oversee the airline were also new to the airplane, and had a heavy workload. Even though there were Q400 qualified FAA inspectors elsewhere, they were not assigned to help. One NTSB recommendation asked the FAA to better address workload and experience discrepancies of this type, and the FAA agreed, issuing amended policy and procedure in the fall of 2014.</w:t>
      </w:r>
    </w:p>
    <w:p w14:paraId="2D626732" w14:textId="77777777" w:rsidR="000E1F2E" w:rsidRDefault="000E1F2E">
      <w:pPr>
        <w:pStyle w:val="Body"/>
        <w:jc w:val="both"/>
        <w:rPr>
          <w:sz w:val="24"/>
          <w:szCs w:val="24"/>
        </w:rPr>
      </w:pPr>
    </w:p>
    <w:p w14:paraId="331DBB83" w14:textId="77777777" w:rsidR="000E1F2E" w:rsidRDefault="00E1617B">
      <w:pPr>
        <w:pStyle w:val="Body"/>
        <w:jc w:val="both"/>
        <w:rPr>
          <w:sz w:val="24"/>
          <w:szCs w:val="24"/>
        </w:rPr>
      </w:pPr>
      <w:r>
        <w:rPr>
          <w:sz w:val="24"/>
          <w:szCs w:val="24"/>
        </w:rPr>
        <w:tab/>
        <w:t>Congress agreed with the need to ensure better surveillance of airlines. They mandated the creation of an air carrier task force (Section 204 of the airline safety act), a review of FAA inspector staffing and workload (Section 205), and an annual inspection of regional airlines (Section 211). The FAA completed these actions between 2011 and 2012.</w:t>
      </w:r>
    </w:p>
    <w:p w14:paraId="16AF5BF8" w14:textId="77777777" w:rsidR="000E1F2E" w:rsidRDefault="000E1F2E">
      <w:pPr>
        <w:pStyle w:val="Body"/>
        <w:jc w:val="both"/>
        <w:rPr>
          <w:sz w:val="24"/>
          <w:szCs w:val="24"/>
        </w:rPr>
      </w:pPr>
    </w:p>
    <w:p w14:paraId="60680897" w14:textId="77777777" w:rsidR="000E1F2E" w:rsidRDefault="00E1617B">
      <w:pPr>
        <w:pStyle w:val="Body"/>
        <w:jc w:val="both"/>
        <w:rPr>
          <w:b/>
          <w:bCs/>
          <w:sz w:val="24"/>
          <w:szCs w:val="24"/>
        </w:rPr>
      </w:pPr>
      <w:r>
        <w:rPr>
          <w:sz w:val="24"/>
          <w:szCs w:val="24"/>
        </w:rPr>
        <w:tab/>
        <w:t>The FAA has long been aware of the safety challenges of new airplane introductions, rapid growth, and industrial issues such as strikes at airlines. The FAA will need to provide close scrutiny to airlines based on these considerations.</w:t>
      </w:r>
    </w:p>
    <w:p w14:paraId="121E7E59" w14:textId="77777777" w:rsidR="000E1F2E" w:rsidRDefault="000E1F2E">
      <w:pPr>
        <w:pStyle w:val="Body"/>
        <w:jc w:val="both"/>
        <w:rPr>
          <w:b/>
          <w:bCs/>
          <w:sz w:val="24"/>
          <w:szCs w:val="24"/>
        </w:rPr>
      </w:pPr>
    </w:p>
    <w:p w14:paraId="36E1C89E" w14:textId="77777777" w:rsidR="000E1F2E" w:rsidRDefault="00E1617B">
      <w:pPr>
        <w:pStyle w:val="Body"/>
        <w:jc w:val="both"/>
        <w:rPr>
          <w:b/>
          <w:bCs/>
          <w:sz w:val="24"/>
          <w:szCs w:val="24"/>
        </w:rPr>
      </w:pPr>
      <w:r>
        <w:rPr>
          <w:b/>
          <w:bCs/>
          <w:sz w:val="24"/>
          <w:szCs w:val="24"/>
        </w:rPr>
        <w:tab/>
        <w:t>Safety and Operational Communications</w:t>
      </w:r>
    </w:p>
    <w:p w14:paraId="0EDA164A" w14:textId="77777777" w:rsidR="000E1F2E" w:rsidRDefault="000E1F2E">
      <w:pPr>
        <w:pStyle w:val="Body"/>
        <w:jc w:val="both"/>
        <w:rPr>
          <w:b/>
          <w:bCs/>
          <w:sz w:val="24"/>
          <w:szCs w:val="24"/>
        </w:rPr>
      </w:pPr>
    </w:p>
    <w:p w14:paraId="5F95D3E5" w14:textId="77777777" w:rsidR="000E1F2E" w:rsidRDefault="00E1617B">
      <w:pPr>
        <w:pStyle w:val="Body"/>
        <w:jc w:val="both"/>
        <w:rPr>
          <w:sz w:val="24"/>
          <w:szCs w:val="24"/>
        </w:rPr>
      </w:pPr>
      <w:r>
        <w:rPr>
          <w:b/>
          <w:bCs/>
          <w:sz w:val="24"/>
          <w:szCs w:val="24"/>
        </w:rPr>
        <w:tab/>
      </w:r>
      <w:r>
        <w:rPr>
          <w:sz w:val="24"/>
          <w:szCs w:val="24"/>
        </w:rPr>
        <w:t xml:space="preserve">The </w:t>
      </w:r>
      <w:proofErr w:type="spellStart"/>
      <w:r>
        <w:rPr>
          <w:sz w:val="24"/>
          <w:szCs w:val="24"/>
        </w:rPr>
        <w:t>Colgan</w:t>
      </w:r>
      <w:proofErr w:type="spellEnd"/>
      <w:r>
        <w:rPr>
          <w:sz w:val="24"/>
          <w:szCs w:val="24"/>
        </w:rPr>
        <w:t xml:space="preserve"> report included three recommendations pertaining to FAA’s dissemination of weather information to pilots and one recommendation about the FAA’s use of non-binding notices such as Safety Alert for Operators (SAFO’s) for safety-critical information. Most of the weather recommendations have been completed.  The SAFO recommendation has not been closed. Investigators found the FAA had issued a SAFO addressing remedial training programs in response to an NTSB recommendation, but neither the </w:t>
      </w:r>
      <w:proofErr w:type="spellStart"/>
      <w:r>
        <w:rPr>
          <w:sz w:val="24"/>
          <w:szCs w:val="24"/>
        </w:rPr>
        <w:t>Colgan</w:t>
      </w:r>
      <w:proofErr w:type="spellEnd"/>
      <w:r>
        <w:rPr>
          <w:sz w:val="24"/>
          <w:szCs w:val="24"/>
        </w:rPr>
        <w:t xml:space="preserve"> POI nor </w:t>
      </w:r>
      <w:proofErr w:type="spellStart"/>
      <w:r>
        <w:rPr>
          <w:sz w:val="24"/>
          <w:szCs w:val="24"/>
        </w:rPr>
        <w:t>Colgan</w:t>
      </w:r>
      <w:proofErr w:type="spellEnd"/>
      <w:r>
        <w:rPr>
          <w:sz w:val="24"/>
          <w:szCs w:val="24"/>
        </w:rPr>
        <w:t xml:space="preserve"> officials were aware of it. This lack of awareness of SAFO’s had been commonly noted by the NTSB in other investigations. The FAA had no process in place to ensure and document that the safety-critical information in much of its communications to airlines was actually read, accepted and acknowledged.</w:t>
      </w:r>
    </w:p>
    <w:p w14:paraId="11EEEF2E" w14:textId="77777777" w:rsidR="000E1F2E" w:rsidRDefault="000E1F2E">
      <w:pPr>
        <w:pStyle w:val="Body"/>
        <w:jc w:val="both"/>
        <w:rPr>
          <w:sz w:val="24"/>
          <w:szCs w:val="24"/>
        </w:rPr>
      </w:pPr>
    </w:p>
    <w:p w14:paraId="165A7C46" w14:textId="77777777" w:rsidR="000E1F2E" w:rsidRDefault="00E1617B">
      <w:pPr>
        <w:pStyle w:val="Body"/>
        <w:jc w:val="both"/>
        <w:rPr>
          <w:sz w:val="24"/>
          <w:szCs w:val="24"/>
        </w:rPr>
      </w:pPr>
      <w:r>
        <w:rPr>
          <w:sz w:val="24"/>
          <w:szCs w:val="24"/>
        </w:rPr>
        <w:tab/>
        <w:t>Safety information is of no value if no one reads it. Establishing a feedback loop between the FAA and airlines would seem to be a simple task. However, it remains a problem not yet resolved.</w:t>
      </w:r>
    </w:p>
    <w:p w14:paraId="285E44A0" w14:textId="77777777" w:rsidR="002A49D2" w:rsidRDefault="002A49D2">
      <w:pPr>
        <w:pStyle w:val="Body"/>
        <w:jc w:val="both"/>
        <w:rPr>
          <w:sz w:val="24"/>
          <w:szCs w:val="24"/>
        </w:rPr>
      </w:pPr>
    </w:p>
    <w:p w14:paraId="437B74A2" w14:textId="77777777" w:rsidR="002A49D2" w:rsidRDefault="002A49D2">
      <w:pPr>
        <w:pStyle w:val="Body"/>
        <w:jc w:val="both"/>
        <w:rPr>
          <w:sz w:val="24"/>
          <w:szCs w:val="24"/>
        </w:rPr>
      </w:pPr>
    </w:p>
    <w:p w14:paraId="723641C4" w14:textId="77777777" w:rsidR="000E1F2E" w:rsidRDefault="000E1F2E">
      <w:pPr>
        <w:pStyle w:val="Body"/>
        <w:jc w:val="both"/>
        <w:rPr>
          <w:sz w:val="24"/>
          <w:szCs w:val="24"/>
        </w:rPr>
      </w:pPr>
    </w:p>
    <w:p w14:paraId="2685F105" w14:textId="77777777" w:rsidR="000E1F2E" w:rsidRDefault="00E1617B">
      <w:pPr>
        <w:pStyle w:val="Body"/>
        <w:jc w:val="both"/>
        <w:rPr>
          <w:b/>
          <w:bCs/>
          <w:sz w:val="24"/>
          <w:szCs w:val="24"/>
        </w:rPr>
      </w:pPr>
      <w:r>
        <w:rPr>
          <w:sz w:val="24"/>
          <w:szCs w:val="24"/>
        </w:rPr>
        <w:tab/>
      </w:r>
      <w:r>
        <w:rPr>
          <w:b/>
          <w:bCs/>
          <w:sz w:val="24"/>
          <w:szCs w:val="24"/>
        </w:rPr>
        <w:t>Code Sharing</w:t>
      </w:r>
    </w:p>
    <w:p w14:paraId="7B7C072F" w14:textId="77777777" w:rsidR="000E1F2E" w:rsidRDefault="000E1F2E">
      <w:pPr>
        <w:pStyle w:val="Body"/>
        <w:jc w:val="both"/>
        <w:rPr>
          <w:b/>
          <w:bCs/>
          <w:sz w:val="24"/>
          <w:szCs w:val="24"/>
        </w:rPr>
      </w:pPr>
    </w:p>
    <w:p w14:paraId="602C8305" w14:textId="77777777" w:rsidR="000E1F2E" w:rsidRDefault="00E1617B">
      <w:pPr>
        <w:pStyle w:val="Body"/>
        <w:jc w:val="both"/>
        <w:rPr>
          <w:sz w:val="24"/>
          <w:szCs w:val="24"/>
        </w:rPr>
      </w:pPr>
      <w:r>
        <w:rPr>
          <w:b/>
          <w:bCs/>
          <w:sz w:val="24"/>
          <w:szCs w:val="24"/>
        </w:rPr>
        <w:tab/>
      </w:r>
      <w:proofErr w:type="spellStart"/>
      <w:r>
        <w:rPr>
          <w:sz w:val="24"/>
          <w:szCs w:val="24"/>
        </w:rPr>
        <w:t>Colgan</w:t>
      </w:r>
      <w:proofErr w:type="spellEnd"/>
      <w:r>
        <w:rPr>
          <w:sz w:val="24"/>
          <w:szCs w:val="24"/>
        </w:rPr>
        <w:t xml:space="preserve"> 3407 was a Continental Airlines codeshare flight. During the investigation, many observers, including families of the victims and journalists, expressed surprise that the accident airplane, painted in Continental’s colors and logo, was not actually a Continental flight. Investigators spoke with Continental officials and found that company disclaimed any responsibility for the safe operation of </w:t>
      </w:r>
      <w:proofErr w:type="spellStart"/>
      <w:r>
        <w:rPr>
          <w:sz w:val="24"/>
          <w:szCs w:val="24"/>
        </w:rPr>
        <w:t>Colgan</w:t>
      </w:r>
      <w:proofErr w:type="spellEnd"/>
      <w:r>
        <w:rPr>
          <w:sz w:val="24"/>
          <w:szCs w:val="24"/>
        </w:rPr>
        <w:t xml:space="preserve"> Airlines. In contrast, </w:t>
      </w:r>
      <w:proofErr w:type="spellStart"/>
      <w:r>
        <w:rPr>
          <w:sz w:val="24"/>
          <w:szCs w:val="24"/>
        </w:rPr>
        <w:t>Colgan</w:t>
      </w:r>
      <w:proofErr w:type="spellEnd"/>
      <w:r>
        <w:rPr>
          <w:sz w:val="24"/>
          <w:szCs w:val="24"/>
        </w:rPr>
        <w:t xml:space="preserve"> staff told investigators Continental exercised significant control over their company, including setting of schedules and making decisions about cancellations.  The accident report did not discuss code sharing but the NTSB held a public forum on the subject in September, 2010.</w:t>
      </w:r>
    </w:p>
    <w:p w14:paraId="26AB34DA" w14:textId="77777777" w:rsidR="000E1F2E" w:rsidRDefault="000E1F2E">
      <w:pPr>
        <w:pStyle w:val="Body"/>
        <w:jc w:val="both"/>
        <w:rPr>
          <w:sz w:val="24"/>
          <w:szCs w:val="24"/>
        </w:rPr>
      </w:pPr>
    </w:p>
    <w:p w14:paraId="11176777" w14:textId="77777777" w:rsidR="000E1F2E" w:rsidRDefault="00E1617B">
      <w:pPr>
        <w:pStyle w:val="Body"/>
        <w:jc w:val="both"/>
        <w:rPr>
          <w:sz w:val="24"/>
          <w:szCs w:val="24"/>
        </w:rPr>
      </w:pPr>
      <w:r>
        <w:rPr>
          <w:sz w:val="24"/>
          <w:szCs w:val="24"/>
        </w:rPr>
        <w:tab/>
        <w:t>In section 210 of the airline safety act, Congress required airlines to disclose the actual air carrier to be flown on airline tickets, and in section 214 required annual FAA inspections of regional airlines.</w:t>
      </w:r>
    </w:p>
    <w:p w14:paraId="49E8F2A8" w14:textId="77777777" w:rsidR="000E1F2E" w:rsidRDefault="000E1F2E">
      <w:pPr>
        <w:pStyle w:val="Body"/>
        <w:jc w:val="both"/>
        <w:rPr>
          <w:sz w:val="24"/>
          <w:szCs w:val="24"/>
        </w:rPr>
      </w:pPr>
    </w:p>
    <w:p w14:paraId="08B1FA3D" w14:textId="77777777" w:rsidR="000E1F2E" w:rsidRDefault="00E1617B">
      <w:pPr>
        <w:pStyle w:val="Body"/>
        <w:jc w:val="both"/>
        <w:rPr>
          <w:b/>
          <w:bCs/>
          <w:sz w:val="24"/>
          <w:szCs w:val="24"/>
        </w:rPr>
      </w:pPr>
      <w:r>
        <w:rPr>
          <w:sz w:val="24"/>
          <w:szCs w:val="24"/>
        </w:rPr>
        <w:tab/>
        <w:t xml:space="preserve">Code sharing is not a recent phenomenon. The NTSB made reference to “code sharing arrangements” in a 1994 safety study on commuter airline safety. That study helped to persuade the FAA in 1995 to place most commuter airlines into the same Part 121 regulatory regime as major airlines; the FAA called it creating “one level of safety.” The </w:t>
      </w:r>
      <w:proofErr w:type="spellStart"/>
      <w:r>
        <w:rPr>
          <w:sz w:val="24"/>
          <w:szCs w:val="24"/>
        </w:rPr>
        <w:t>Colgan</w:t>
      </w:r>
      <w:proofErr w:type="spellEnd"/>
      <w:r>
        <w:rPr>
          <w:sz w:val="24"/>
          <w:szCs w:val="24"/>
        </w:rPr>
        <w:t xml:space="preserve"> investigation showed that, even though it was certified under Part 121, the airline was clearly not operating at the same level of safety as major airlines.</w:t>
      </w:r>
    </w:p>
    <w:p w14:paraId="2ED9BC85" w14:textId="77777777" w:rsidR="000E1F2E" w:rsidRDefault="000E1F2E">
      <w:pPr>
        <w:pStyle w:val="Body"/>
        <w:jc w:val="both"/>
        <w:rPr>
          <w:b/>
          <w:bCs/>
          <w:sz w:val="24"/>
          <w:szCs w:val="24"/>
        </w:rPr>
      </w:pPr>
    </w:p>
    <w:p w14:paraId="7222034B" w14:textId="77777777" w:rsidR="000E1F2E" w:rsidRDefault="00E1617B">
      <w:pPr>
        <w:pStyle w:val="Body"/>
        <w:jc w:val="both"/>
        <w:rPr>
          <w:b/>
          <w:bCs/>
          <w:sz w:val="24"/>
          <w:szCs w:val="24"/>
        </w:rPr>
      </w:pPr>
      <w:r>
        <w:rPr>
          <w:b/>
          <w:bCs/>
          <w:sz w:val="24"/>
          <w:szCs w:val="24"/>
        </w:rPr>
        <w:tab/>
      </w:r>
    </w:p>
    <w:p w14:paraId="1DE5514E" w14:textId="77777777" w:rsidR="000E1F2E" w:rsidRDefault="00E1617B">
      <w:pPr>
        <w:pStyle w:val="Body"/>
        <w:jc w:val="both"/>
        <w:rPr>
          <w:b/>
          <w:bCs/>
          <w:sz w:val="26"/>
          <w:szCs w:val="26"/>
        </w:rPr>
      </w:pPr>
      <w:r>
        <w:rPr>
          <w:b/>
          <w:bCs/>
          <w:sz w:val="26"/>
          <w:szCs w:val="26"/>
        </w:rPr>
        <w:t>Conclusions</w:t>
      </w:r>
    </w:p>
    <w:p w14:paraId="016CD6F6" w14:textId="77777777" w:rsidR="000E1F2E" w:rsidRDefault="000E1F2E">
      <w:pPr>
        <w:pStyle w:val="Body"/>
        <w:jc w:val="both"/>
        <w:rPr>
          <w:sz w:val="24"/>
          <w:szCs w:val="24"/>
        </w:rPr>
      </w:pPr>
    </w:p>
    <w:p w14:paraId="477F42A1" w14:textId="77777777" w:rsidR="000E1F2E" w:rsidRDefault="00E1617B">
      <w:pPr>
        <w:pStyle w:val="Body"/>
        <w:jc w:val="both"/>
        <w:rPr>
          <w:sz w:val="24"/>
          <w:szCs w:val="24"/>
        </w:rPr>
      </w:pPr>
      <w:r>
        <w:rPr>
          <w:sz w:val="24"/>
          <w:szCs w:val="24"/>
        </w:rPr>
        <w:tab/>
        <w:t xml:space="preserve">Before the </w:t>
      </w:r>
      <w:proofErr w:type="spellStart"/>
      <w:r>
        <w:rPr>
          <w:sz w:val="24"/>
          <w:szCs w:val="24"/>
        </w:rPr>
        <w:t>Colgan</w:t>
      </w:r>
      <w:proofErr w:type="spellEnd"/>
      <w:r>
        <w:rPr>
          <w:sz w:val="24"/>
          <w:szCs w:val="24"/>
        </w:rPr>
        <w:t xml:space="preserve"> investigation, some airlines, particularly regional airlines, met only very low minimum standards for pilot hiring, pilot training, pilot records, and pilot professional standards. Those standards have been raised. Before the </w:t>
      </w:r>
      <w:proofErr w:type="spellStart"/>
      <w:r>
        <w:rPr>
          <w:sz w:val="24"/>
          <w:szCs w:val="24"/>
        </w:rPr>
        <w:t>Colgan</w:t>
      </w:r>
      <w:proofErr w:type="spellEnd"/>
      <w:r>
        <w:rPr>
          <w:sz w:val="24"/>
          <w:szCs w:val="24"/>
        </w:rPr>
        <w:t xml:space="preserve"> investigation, all airlines conducted “maintain altitude” stall training. The change to realistic stall training is now under way. Before the </w:t>
      </w:r>
      <w:proofErr w:type="spellStart"/>
      <w:r>
        <w:rPr>
          <w:sz w:val="24"/>
          <w:szCs w:val="24"/>
        </w:rPr>
        <w:t>Colgan</w:t>
      </w:r>
      <w:proofErr w:type="spellEnd"/>
      <w:r>
        <w:rPr>
          <w:sz w:val="24"/>
          <w:szCs w:val="24"/>
        </w:rPr>
        <w:t xml:space="preserve"> investigation, thousands of turboprop pilots were confused about tail stalls. That has changed. Airline pilot monitoring training, remedial training and professional development training were minimal or non-existent. These are now required. Standards for pilot fatigue management, safety management systems, flight simulators and low speed cautions have improved. </w:t>
      </w:r>
    </w:p>
    <w:p w14:paraId="782BFB38" w14:textId="77777777" w:rsidR="000E1F2E" w:rsidRDefault="000E1F2E">
      <w:pPr>
        <w:pStyle w:val="Body"/>
        <w:jc w:val="both"/>
        <w:rPr>
          <w:sz w:val="24"/>
          <w:szCs w:val="24"/>
        </w:rPr>
      </w:pPr>
    </w:p>
    <w:p w14:paraId="4A518BC1" w14:textId="77777777" w:rsidR="000E1F2E" w:rsidRDefault="00E1617B">
      <w:pPr>
        <w:pStyle w:val="Body"/>
        <w:jc w:val="both"/>
        <w:rPr>
          <w:sz w:val="24"/>
          <w:szCs w:val="24"/>
        </w:rPr>
      </w:pPr>
      <w:r>
        <w:rPr>
          <w:sz w:val="24"/>
          <w:szCs w:val="24"/>
        </w:rPr>
        <w:tab/>
        <w:t>Not every safety issue raised by the investigation has been fully resolved. Pilot records improvements have been very slow to develop. Most flight simulators still need to be modified for use in the new stall training. Voluntary compliance with rules and good judgment by pilots is still needed, as is the adoption of safety programs like FOQA by airlines. However, standards have been raised.</w:t>
      </w:r>
    </w:p>
    <w:p w14:paraId="356B410F" w14:textId="77777777" w:rsidR="000E1F2E" w:rsidRDefault="000E1F2E">
      <w:pPr>
        <w:pStyle w:val="Body"/>
        <w:jc w:val="both"/>
        <w:rPr>
          <w:sz w:val="24"/>
          <w:szCs w:val="24"/>
        </w:rPr>
      </w:pPr>
    </w:p>
    <w:p w14:paraId="6EAB9D09" w14:textId="77777777" w:rsidR="000E1F2E" w:rsidRDefault="00E1617B">
      <w:pPr>
        <w:pStyle w:val="Body"/>
        <w:jc w:val="both"/>
        <w:rPr>
          <w:sz w:val="24"/>
          <w:szCs w:val="24"/>
        </w:rPr>
      </w:pPr>
      <w:r>
        <w:rPr>
          <w:sz w:val="24"/>
          <w:szCs w:val="24"/>
        </w:rPr>
        <w:tab/>
        <w:t>For today’s accident investigators, it should be clear that good investigations really do matter. Explaining not just what happened, but why it happened leads pilots, airlines and the FAA to rethink the way they operate. Making recommendations is part of an investigation, and being willing to challenge the status quo is important. Even when recommendations miss their mark or fail to be accepted, they provide a reasoned argument for change.</w:t>
      </w:r>
    </w:p>
    <w:p w14:paraId="48B45223" w14:textId="77777777" w:rsidR="000E1F2E" w:rsidRDefault="000E1F2E">
      <w:pPr>
        <w:pStyle w:val="Body"/>
        <w:jc w:val="both"/>
        <w:rPr>
          <w:sz w:val="24"/>
          <w:szCs w:val="24"/>
        </w:rPr>
      </w:pPr>
    </w:p>
    <w:p w14:paraId="48BFE9E6" w14:textId="77777777" w:rsidR="000E1F2E" w:rsidRDefault="00E1617B">
      <w:pPr>
        <w:pStyle w:val="Body"/>
        <w:jc w:val="both"/>
        <w:rPr>
          <w:sz w:val="24"/>
          <w:szCs w:val="24"/>
        </w:rPr>
      </w:pPr>
      <w:r>
        <w:rPr>
          <w:sz w:val="24"/>
          <w:szCs w:val="24"/>
        </w:rPr>
        <w:tab/>
        <w:t xml:space="preserve">The findings and recommendations from many previous investigations influenced the changes made after the </w:t>
      </w:r>
      <w:proofErr w:type="spellStart"/>
      <w:r>
        <w:rPr>
          <w:sz w:val="24"/>
          <w:szCs w:val="24"/>
        </w:rPr>
        <w:t>Colgan</w:t>
      </w:r>
      <w:proofErr w:type="spellEnd"/>
      <w:r>
        <w:rPr>
          <w:sz w:val="24"/>
          <w:szCs w:val="24"/>
        </w:rPr>
        <w:t xml:space="preserve"> accident long after their reports were completed. For example, the air carrier stall related accident investigations shown in table 4 did not change stall training, but they provided strong support to the arguments that succeeded in making the change. Today’s investigators should recognize that every investigation is important, either now or later.</w:t>
      </w:r>
    </w:p>
    <w:p w14:paraId="057CE696" w14:textId="77777777" w:rsidR="000E1F2E" w:rsidRDefault="000E1F2E">
      <w:pPr>
        <w:pStyle w:val="Body"/>
        <w:jc w:val="both"/>
        <w:rPr>
          <w:sz w:val="24"/>
          <w:szCs w:val="24"/>
        </w:rPr>
      </w:pPr>
    </w:p>
    <w:p w14:paraId="23A6CDA7" w14:textId="77777777" w:rsidR="000E1F2E" w:rsidRDefault="00E1617B">
      <w:pPr>
        <w:pStyle w:val="Body"/>
        <w:jc w:val="both"/>
        <w:rPr>
          <w:sz w:val="24"/>
          <w:szCs w:val="24"/>
        </w:rPr>
      </w:pPr>
      <w:r>
        <w:rPr>
          <w:sz w:val="24"/>
          <w:szCs w:val="24"/>
        </w:rPr>
        <w:tab/>
        <w:t xml:space="preserve">Finally, maintaining a reputation for fairness, integrity, thoroughness and attention to detail as an investigative agency pays off in many ways. The </w:t>
      </w:r>
      <w:proofErr w:type="spellStart"/>
      <w:r>
        <w:rPr>
          <w:sz w:val="24"/>
          <w:szCs w:val="24"/>
        </w:rPr>
        <w:t>Colgan</w:t>
      </w:r>
      <w:proofErr w:type="spellEnd"/>
      <w:r>
        <w:rPr>
          <w:sz w:val="24"/>
          <w:szCs w:val="24"/>
        </w:rPr>
        <w:t xml:space="preserve"> investigation was not easy. Parties were fearful of liability, emotions ran strong, and there was strong pressure to produce a report within one year. Even so, the public, the victim’s families, and the</w:t>
      </w:r>
      <w:r w:rsidR="00B21026">
        <w:rPr>
          <w:sz w:val="24"/>
          <w:szCs w:val="24"/>
        </w:rPr>
        <w:t xml:space="preserve"> Congress placed</w:t>
      </w:r>
      <w:r>
        <w:rPr>
          <w:sz w:val="24"/>
          <w:szCs w:val="24"/>
        </w:rPr>
        <w:t xml:space="preserve"> faith in the NTSB’s process, findings and recommendations, and this faith was what enabled change.</w:t>
      </w:r>
    </w:p>
    <w:p w14:paraId="512C4C3E" w14:textId="77777777" w:rsidR="000E1F2E" w:rsidRDefault="000E1F2E">
      <w:pPr>
        <w:pStyle w:val="Body"/>
        <w:jc w:val="both"/>
        <w:rPr>
          <w:sz w:val="24"/>
          <w:szCs w:val="24"/>
        </w:rPr>
      </w:pPr>
    </w:p>
    <w:p w14:paraId="2B75D8CA" w14:textId="77777777" w:rsidR="000E1F2E" w:rsidRDefault="00E1617B">
      <w:pPr>
        <w:pStyle w:val="Body"/>
        <w:jc w:val="both"/>
        <w:rPr>
          <w:sz w:val="24"/>
          <w:szCs w:val="24"/>
        </w:rPr>
      </w:pPr>
      <w:r>
        <w:rPr>
          <w:sz w:val="24"/>
          <w:szCs w:val="24"/>
        </w:rPr>
        <w:tab/>
      </w:r>
    </w:p>
    <w:p w14:paraId="630A974C" w14:textId="77777777" w:rsidR="000E1F2E" w:rsidRDefault="00E1617B">
      <w:pPr>
        <w:pStyle w:val="Body"/>
        <w:jc w:val="both"/>
        <w:rPr>
          <w:sz w:val="26"/>
          <w:szCs w:val="26"/>
        </w:rPr>
      </w:pPr>
      <w:r>
        <w:rPr>
          <w:sz w:val="24"/>
          <w:szCs w:val="24"/>
        </w:rPr>
        <w:tab/>
      </w:r>
    </w:p>
    <w:p w14:paraId="285B1740" w14:textId="77777777" w:rsidR="000E1F2E" w:rsidRPr="002A49D2" w:rsidRDefault="00E1617B" w:rsidP="002A49D2">
      <w:pPr>
        <w:pStyle w:val="Body"/>
        <w:jc w:val="center"/>
      </w:pPr>
      <w:r>
        <w:rPr>
          <w:rFonts w:ascii="Arial Unicode MS" w:hAnsi="Arial Unicode MS"/>
          <w:sz w:val="24"/>
          <w:szCs w:val="24"/>
        </w:rPr>
        <w:br w:type="page"/>
      </w:r>
    </w:p>
    <w:p w14:paraId="4997C785" w14:textId="77777777" w:rsidR="000E1F2E" w:rsidRDefault="000E1F2E">
      <w:pPr>
        <w:pStyle w:val="Body"/>
        <w:jc w:val="center"/>
        <w:rPr>
          <w:b/>
          <w:bCs/>
          <w:sz w:val="24"/>
          <w:szCs w:val="24"/>
        </w:rPr>
      </w:pPr>
    </w:p>
    <w:p w14:paraId="5ECE07EA" w14:textId="77777777" w:rsidR="000E1F2E" w:rsidRDefault="00E1617B">
      <w:pPr>
        <w:pStyle w:val="Body"/>
      </w:pPr>
      <w:r>
        <w:rPr>
          <w:b/>
          <w:bCs/>
          <w:sz w:val="24"/>
          <w:szCs w:val="24"/>
        </w:rPr>
        <w:t>Notes</w:t>
      </w:r>
    </w:p>
    <w:sectPr w:rsidR="000E1F2E" w:rsidSect="000E1F2E">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C5820" w14:textId="77777777" w:rsidR="00785044" w:rsidRDefault="00785044">
      <w:r>
        <w:separator/>
      </w:r>
    </w:p>
  </w:endnote>
  <w:endnote w:type="continuationSeparator" w:id="0">
    <w:p w14:paraId="48285EFB" w14:textId="77777777" w:rsidR="00785044" w:rsidRDefault="00785044">
      <w:r>
        <w:continuationSeparator/>
      </w:r>
    </w:p>
  </w:endnote>
  <w:endnote w:type="continuationNotice" w:id="1">
    <w:p w14:paraId="0F5BB56B" w14:textId="77777777" w:rsidR="00785044" w:rsidRDefault="00785044"/>
  </w:endnote>
  <w:endnote w:id="2">
    <w:p w14:paraId="4BEB2A75" w14:textId="77777777" w:rsidR="00B21026" w:rsidRDefault="00B21026">
      <w:pPr>
        <w:pStyle w:val="Footnote"/>
      </w:pPr>
      <w:r>
        <w:rPr>
          <w:vertAlign w:val="superscript"/>
        </w:rPr>
        <w:endnoteRef/>
      </w:r>
      <w:r>
        <w:rPr>
          <w:rFonts w:eastAsia="Arial Unicode MS" w:cs="Arial Unicode MS"/>
        </w:rPr>
        <w:t xml:space="preserve">”Fact Sheet - Commercial Air Safety Team,” FAA website, April 12, 2016. </w:t>
      </w:r>
      <w:hyperlink r:id="rId1" w:history="1">
        <w:r>
          <w:rPr>
            <w:rStyle w:val="Hyperlink0"/>
            <w:rFonts w:eastAsia="Arial Unicode MS" w:cs="Arial Unicode MS"/>
          </w:rPr>
          <w:t>https://www.faa.gov/news/fact_sheets/news_story.cfm?newsId=18178</w:t>
        </w:r>
      </w:hyperlink>
    </w:p>
  </w:endnote>
  <w:endnote w:id="3">
    <w:p w14:paraId="17C8A5C5" w14:textId="77777777" w:rsidR="00B21026" w:rsidRDefault="00B21026">
      <w:pPr>
        <w:pStyle w:val="Footnote"/>
      </w:pPr>
      <w:r>
        <w:rPr>
          <w:vertAlign w:val="superscript"/>
        </w:rPr>
        <w:endnoteRef/>
      </w:r>
      <w:r>
        <w:rPr>
          <w:rFonts w:eastAsia="Arial Unicode MS" w:cs="Arial Unicode MS"/>
        </w:rPr>
        <w:t xml:space="preserve"> NTSB. “Accident Report: Loss of Control on Approach. </w:t>
      </w:r>
      <w:proofErr w:type="spellStart"/>
      <w:r>
        <w:rPr>
          <w:rFonts w:eastAsia="Arial Unicode MS" w:cs="Arial Unicode MS"/>
        </w:rPr>
        <w:t>Colgan</w:t>
      </w:r>
      <w:proofErr w:type="spellEnd"/>
      <w:r>
        <w:rPr>
          <w:rFonts w:eastAsia="Arial Unicode MS" w:cs="Arial Unicode MS"/>
        </w:rPr>
        <w:t xml:space="preserve"> Air, Inc. Operating as Continental Connection Flight 3407. Bombardier DHC-8-400, N200WQ, Clarence Center, New York. February 12, </w:t>
      </w:r>
      <w:proofErr w:type="gramStart"/>
      <w:r>
        <w:rPr>
          <w:rFonts w:eastAsia="Arial Unicode MS" w:cs="Arial Unicode MS"/>
        </w:rPr>
        <w:t>2009”  NTSB</w:t>
      </w:r>
      <w:proofErr w:type="gramEnd"/>
      <w:r>
        <w:rPr>
          <w:rFonts w:eastAsia="Arial Unicode MS" w:cs="Arial Unicode MS"/>
        </w:rPr>
        <w:t xml:space="preserve">/AAR- 10/01. Adopted February 2, 2010. </w:t>
      </w:r>
    </w:p>
  </w:endnote>
  <w:endnote w:id="4">
    <w:p w14:paraId="078C3330" w14:textId="77777777" w:rsidR="00B21026" w:rsidRDefault="00B21026">
      <w:pPr>
        <w:pStyle w:val="Footnote"/>
      </w:pPr>
      <w:r>
        <w:rPr>
          <w:vertAlign w:val="superscript"/>
        </w:rPr>
        <w:endnoteRef/>
      </w:r>
      <w:r>
        <w:rPr>
          <w:rFonts w:eastAsia="Arial Unicode MS" w:cs="Arial Unicode MS"/>
        </w:rPr>
        <w:t xml:space="preserve"> Airline Safety and Federal Aviation Administration Extension Act of 2010; Public Law 111-216 - 124 Stat. 2348 - Aug. 1, 2010. Referred to as “the airline safety act” in this report</w:t>
      </w:r>
    </w:p>
  </w:endnote>
  <w:endnote w:id="5">
    <w:p w14:paraId="289469E4" w14:textId="77777777" w:rsidR="00B21026" w:rsidRDefault="00B21026">
      <w:pPr>
        <w:pStyle w:val="Footnote"/>
      </w:pPr>
      <w:r>
        <w:rPr>
          <w:vertAlign w:val="superscript"/>
        </w:rPr>
        <w:endnoteRef/>
      </w:r>
      <w:r>
        <w:rPr>
          <w:rFonts w:eastAsia="Arial Unicode MS" w:cs="Arial Unicode MS"/>
        </w:rPr>
        <w:t xml:space="preserve"> The members of the group believed Continental, the mainline codeshare partner, was responsible for the conduct of the flight</w:t>
      </w:r>
    </w:p>
  </w:endnote>
  <w:endnote w:id="6">
    <w:p w14:paraId="60AF252B" w14:textId="77777777" w:rsidR="00B21026" w:rsidRDefault="00B21026">
      <w:pPr>
        <w:pStyle w:val="Footnote"/>
      </w:pPr>
      <w:r>
        <w:rPr>
          <w:vertAlign w:val="superscript"/>
        </w:rPr>
        <w:endnoteRef/>
      </w:r>
      <w:r>
        <w:rPr>
          <w:rFonts w:eastAsia="Arial Unicode MS" w:cs="Arial Unicode MS"/>
        </w:rPr>
        <w:t xml:space="preserve"> See Regional Airline Association (RAA) 2010 Annual Report.</w:t>
      </w:r>
    </w:p>
  </w:endnote>
  <w:endnote w:id="7">
    <w:p w14:paraId="3A31DE8E" w14:textId="77777777" w:rsidR="00B21026" w:rsidRDefault="00B21026">
      <w:pPr>
        <w:pStyle w:val="Footnote"/>
      </w:pPr>
      <w:r>
        <w:rPr>
          <w:vertAlign w:val="superscript"/>
        </w:rPr>
        <w:endnoteRef/>
      </w:r>
      <w:r>
        <w:rPr>
          <w:rFonts w:eastAsia="Arial Unicode MS" w:cs="Arial Unicode MS"/>
        </w:rPr>
        <w:t xml:space="preserve"> Air Sunshine 527 and Peninsula 842 were Part 135 scheduled passenger flights</w:t>
      </w:r>
    </w:p>
  </w:endnote>
  <w:endnote w:id="8">
    <w:p w14:paraId="2633B1B3" w14:textId="77777777" w:rsidR="00B21026" w:rsidRDefault="00B21026">
      <w:pPr>
        <w:pStyle w:val="Footnote"/>
      </w:pPr>
      <w:r>
        <w:rPr>
          <w:vertAlign w:val="superscript"/>
        </w:rPr>
        <w:endnoteRef/>
      </w:r>
      <w:r>
        <w:rPr>
          <w:rFonts w:eastAsia="Arial Unicode MS" w:cs="Arial Unicode MS"/>
        </w:rPr>
        <w:t xml:space="preserve"> Advisory and Rulemaking Committee</w:t>
      </w:r>
    </w:p>
  </w:endnote>
  <w:endnote w:id="9">
    <w:p w14:paraId="2834D7C7" w14:textId="77777777" w:rsidR="00B21026" w:rsidRDefault="00B21026">
      <w:pPr>
        <w:pStyle w:val="Footnote"/>
      </w:pPr>
      <w:r>
        <w:rPr>
          <w:vertAlign w:val="superscript"/>
        </w:rPr>
        <w:endnoteRef/>
      </w:r>
      <w:r>
        <w:rPr>
          <w:rFonts w:eastAsia="Arial Unicode MS" w:cs="Arial Unicode MS"/>
        </w:rPr>
        <w:t xml:space="preserve"> 1500 flight hours was already a requirement for an ATP certificate.</w:t>
      </w:r>
    </w:p>
  </w:endnote>
  <w:endnote w:id="10">
    <w:p w14:paraId="0E46A62B" w14:textId="77777777" w:rsidR="00B21026" w:rsidRDefault="00B21026">
      <w:pPr>
        <w:pStyle w:val="Footnote"/>
      </w:pPr>
      <w:r>
        <w:rPr>
          <w:vertAlign w:val="superscript"/>
        </w:rPr>
        <w:endnoteRef/>
      </w:r>
      <w:r>
        <w:rPr>
          <w:rFonts w:eastAsia="Arial Unicode MS" w:cs="Arial Unicode MS"/>
        </w:rPr>
        <w:t xml:space="preserve"> Pilot Certification and Qualification Requirements for Air Carrier Operations; Final Rule; Fed. Reg. Vol. 78 No. 135, 42324, July 15, 2013 </w:t>
      </w:r>
    </w:p>
  </w:endnote>
  <w:endnote w:id="11">
    <w:p w14:paraId="47616DED" w14:textId="77777777" w:rsidR="00B21026" w:rsidRDefault="00B21026">
      <w:pPr>
        <w:pStyle w:val="Footnote"/>
      </w:pPr>
      <w:r>
        <w:rPr>
          <w:vertAlign w:val="superscript"/>
        </w:rPr>
        <w:endnoteRef/>
      </w:r>
      <w:r>
        <w:rPr>
          <w:rFonts w:eastAsia="Arial Unicode MS" w:cs="Arial Unicode MS"/>
        </w:rPr>
        <w:t>Institutions Authorized to Certify its Graduates for an Airline Transport Pilot (ATP) Certificate with Reduced Aeronautical Experience, April 8, 2016</w:t>
      </w:r>
    </w:p>
  </w:endnote>
  <w:endnote w:id="12">
    <w:p w14:paraId="7FC300AC" w14:textId="77777777" w:rsidR="00B21026" w:rsidRDefault="00B21026">
      <w:pPr>
        <w:pStyle w:val="Footnote"/>
      </w:pPr>
      <w:r>
        <w:rPr>
          <w:vertAlign w:val="superscript"/>
        </w:rPr>
        <w:endnoteRef/>
      </w:r>
      <w:r>
        <w:rPr>
          <w:rFonts w:eastAsia="Arial Unicode MS" w:cs="Arial Unicode MS"/>
        </w:rPr>
        <w:t xml:space="preserve"> Certificate Holders Authorized to Conduct the Airline Transport Pilot (ATP) Certification Training Program (CTP) revision 27, 2/23/2017</w:t>
      </w:r>
    </w:p>
  </w:endnote>
  <w:endnote w:id="13">
    <w:p w14:paraId="76FDD60B" w14:textId="77777777" w:rsidR="00B21026" w:rsidRDefault="00B21026">
      <w:pPr>
        <w:pStyle w:val="Footnote"/>
      </w:pPr>
      <w:r>
        <w:rPr>
          <w:vertAlign w:val="superscript"/>
        </w:rPr>
        <w:endnoteRef/>
      </w:r>
      <w:r>
        <w:rPr>
          <w:rFonts w:eastAsia="Arial Unicode MS" w:cs="Arial Unicode MS"/>
        </w:rPr>
        <w:t xml:space="preserve"> See 14 CFR Part 61.129</w:t>
      </w:r>
    </w:p>
  </w:endnote>
  <w:endnote w:id="14">
    <w:p w14:paraId="0309651A" w14:textId="77777777" w:rsidR="00B21026" w:rsidRDefault="00B21026">
      <w:pPr>
        <w:pStyle w:val="Footnote"/>
      </w:pPr>
      <w:r>
        <w:rPr>
          <w:vertAlign w:val="superscript"/>
        </w:rPr>
        <w:endnoteRef/>
      </w:r>
      <w:r>
        <w:rPr>
          <w:rFonts w:eastAsia="Arial Unicode MS" w:cs="Arial Unicode MS"/>
          <w:lang w:val="de-DE"/>
        </w:rPr>
        <w:t xml:space="preserve"> FAA</w:t>
      </w:r>
      <w:r>
        <w:rPr>
          <w:rFonts w:eastAsia="Arial Unicode MS" w:cs="Arial Unicode MS"/>
        </w:rPr>
        <w:t xml:space="preserve">’s Efforts to Maintain and Secure Pilot Records; U.S. Department of Transportation, Office of Inspector General; Hearing Before the Committee on Oversight and Government Reform, Subcommittee on Transportation and Public Assets, United States House of Representatives, February 3, 2016 </w:t>
      </w:r>
    </w:p>
  </w:endnote>
  <w:endnote w:id="15">
    <w:p w14:paraId="1A7848BA" w14:textId="77777777" w:rsidR="00B21026" w:rsidRDefault="00B21026">
      <w:pPr>
        <w:pStyle w:val="Footnote"/>
      </w:pPr>
      <w:r>
        <w:rPr>
          <w:vertAlign w:val="superscript"/>
        </w:rPr>
        <w:endnoteRef/>
      </w:r>
      <w:r>
        <w:rPr>
          <w:rFonts w:eastAsia="Arial Unicode MS" w:cs="Arial Unicode MS"/>
        </w:rPr>
        <w:t>FAA, Deployment of Pilot Records Database; National Policy, N8900.394, Dec. 13, 2016</w:t>
      </w:r>
    </w:p>
  </w:endnote>
  <w:endnote w:id="16">
    <w:p w14:paraId="138AB67B" w14:textId="77777777" w:rsidR="00B21026" w:rsidRDefault="00B21026">
      <w:pPr>
        <w:pStyle w:val="Footnote"/>
      </w:pPr>
      <w:r>
        <w:rPr>
          <w:vertAlign w:val="superscript"/>
        </w:rPr>
        <w:endnoteRef/>
      </w:r>
      <w:r>
        <w:rPr>
          <w:rFonts w:eastAsia="Arial Unicode MS" w:cs="Arial Unicode MS"/>
        </w:rPr>
        <w:t xml:space="preserve"> Qualification, Service, and Use of Crewmembers and Aircraft Dispatchers; Final Rule; Fed. Reg. Vol. 78 No. 218, 67800, Nov. 12, 2013</w:t>
      </w:r>
    </w:p>
  </w:endnote>
  <w:endnote w:id="17">
    <w:p w14:paraId="4B874BEC" w14:textId="77777777" w:rsidR="00B21026" w:rsidRDefault="00B21026">
      <w:pPr>
        <w:pStyle w:val="Footnote"/>
      </w:pPr>
      <w:r>
        <w:rPr>
          <w:vertAlign w:val="superscript"/>
        </w:rPr>
        <w:endnoteRef/>
      </w:r>
      <w:r>
        <w:rPr>
          <w:rFonts w:eastAsia="Arial Unicode MS" w:cs="Arial Unicode MS"/>
        </w:rPr>
        <w:t xml:space="preserve"> Pilot Professional Development; NPRM; Fed. Reg. Vol. 81 No. 195, 69908, October 7, 2016</w:t>
      </w:r>
    </w:p>
  </w:endnote>
  <w:endnote w:id="18">
    <w:p w14:paraId="20788244" w14:textId="77777777" w:rsidR="00B21026" w:rsidRDefault="00B21026">
      <w:pPr>
        <w:pStyle w:val="Footnote"/>
      </w:pPr>
      <w:r>
        <w:rPr>
          <w:vertAlign w:val="superscript"/>
        </w:rPr>
        <w:endnoteRef/>
      </w:r>
      <w:proofErr w:type="spellStart"/>
      <w:r>
        <w:rPr>
          <w:rFonts w:eastAsia="Arial Unicode MS" w:cs="Arial Unicode MS"/>
        </w:rPr>
        <w:t>Flightcrew</w:t>
      </w:r>
      <w:proofErr w:type="spellEnd"/>
      <w:r>
        <w:rPr>
          <w:rFonts w:eastAsia="Arial Unicode MS" w:cs="Arial Unicode MS"/>
        </w:rPr>
        <w:t xml:space="preserve"> Member Duty and Rest Requirements; Final Rule; Fed. Reg. </w:t>
      </w:r>
      <w:proofErr w:type="spellStart"/>
      <w:r>
        <w:rPr>
          <w:rFonts w:eastAsia="Arial Unicode MS" w:cs="Arial Unicode MS"/>
        </w:rPr>
        <w:t>Vol</w:t>
      </w:r>
      <w:proofErr w:type="spellEnd"/>
      <w:r>
        <w:rPr>
          <w:rFonts w:eastAsia="Arial Unicode MS" w:cs="Arial Unicode MS"/>
        </w:rPr>
        <w:t xml:space="preserve"> 77 No. </w:t>
      </w:r>
      <w:proofErr w:type="gramStart"/>
      <w:r>
        <w:rPr>
          <w:rFonts w:eastAsia="Arial Unicode MS" w:cs="Arial Unicode MS"/>
        </w:rPr>
        <w:t>2,  330</w:t>
      </w:r>
      <w:proofErr w:type="gramEnd"/>
      <w:r>
        <w:rPr>
          <w:rFonts w:eastAsia="Arial Unicode MS" w:cs="Arial Unicode MS"/>
        </w:rPr>
        <w:t>, January 4,2012</w:t>
      </w:r>
    </w:p>
  </w:endnote>
  <w:endnote w:id="19">
    <w:p w14:paraId="4A2A22E6" w14:textId="77777777" w:rsidR="00B21026" w:rsidRDefault="00B21026">
      <w:pPr>
        <w:pStyle w:val="Footnote"/>
      </w:pPr>
      <w:r>
        <w:rPr>
          <w:vertAlign w:val="superscript"/>
        </w:rPr>
        <w:endnoteRef/>
      </w:r>
      <w:r>
        <w:rPr>
          <w:rFonts w:eastAsia="Arial Unicode MS" w:cs="Arial Unicode MS"/>
          <w:lang w:val="pt-PT"/>
        </w:rPr>
        <w:t xml:space="preserve"> FOQA </w:t>
      </w:r>
      <w:r>
        <w:rPr>
          <w:rFonts w:eastAsia="Arial Unicode MS" w:cs="Arial Unicode MS"/>
        </w:rPr>
        <w:t>programs include installation of extensive flight data recording systems which facilitate rapid transfer of recorded data, de-identification of that data, and agreements between pilot organizations and the air carriers which define how this information may be used.</w:t>
      </w:r>
    </w:p>
  </w:endnote>
  <w:endnote w:id="20">
    <w:p w14:paraId="4D89B43C" w14:textId="77777777" w:rsidR="00B21026" w:rsidRDefault="00B21026">
      <w:pPr>
        <w:pStyle w:val="Footnote"/>
      </w:pPr>
      <w:r>
        <w:rPr>
          <w:vertAlign w:val="superscript"/>
        </w:rPr>
        <w:endnoteRef/>
      </w:r>
      <w:r>
        <w:rPr>
          <w:rFonts w:eastAsia="Arial Unicode MS" w:cs="Arial Unicode MS"/>
        </w:rPr>
        <w:t xml:space="preserve"> FAA Fact sheet - Update on the FAA’s Call to Action to Enhance Airline Safety, January 27, 2010</w:t>
      </w:r>
    </w:p>
  </w:endnote>
  <w:endnote w:id="21">
    <w:p w14:paraId="36D4441B" w14:textId="77777777" w:rsidR="00B21026" w:rsidRDefault="00B21026">
      <w:pPr>
        <w:pStyle w:val="Footnote"/>
      </w:pPr>
      <w:r>
        <w:rPr>
          <w:vertAlign w:val="superscript"/>
        </w:rPr>
        <w:endnoteRef/>
      </w:r>
      <w:r>
        <w:rPr>
          <w:rFonts w:eastAsia="Arial Unicode MS" w:cs="Arial Unicode MS"/>
        </w:rPr>
        <w:t xml:space="preserve"> Safety Management Systems for Domestic, Flag, and Supplemental Operations Certificate Holders; Final Rule; Fed. Reg. Vol. 80 No. 5, 1308, Jan. 8, 2015. The effective date of the rule was March 9, 2015. Carriers had three years to comply.</w:t>
      </w:r>
    </w:p>
  </w:endnote>
  <w:endnote w:id="22">
    <w:p w14:paraId="08457F47" w14:textId="77777777" w:rsidR="00B21026" w:rsidRDefault="00B21026">
      <w:pPr>
        <w:pStyle w:val="Footnote"/>
      </w:pPr>
      <w:r>
        <w:rPr>
          <w:vertAlign w:val="superscript"/>
        </w:rPr>
        <w:endnoteRef/>
      </w:r>
      <w:r>
        <w:rPr>
          <w:rFonts w:eastAsia="Arial Unicode MS" w:cs="Arial Unicode MS"/>
        </w:rPr>
        <w:t xml:space="preserve"> See PL 112-95, FAA Modernization and Reform Act of 2012, Section 310</w:t>
      </w:r>
    </w:p>
  </w:endnote>
  <w:endnote w:id="23">
    <w:p w14:paraId="6D30747F" w14:textId="77777777" w:rsidR="00B21026" w:rsidRDefault="00B21026">
      <w:pPr>
        <w:pStyle w:val="Footnote"/>
      </w:pPr>
      <w:r>
        <w:rPr>
          <w:vertAlign w:val="superscript"/>
        </w:rPr>
        <w:endnoteRef/>
      </w:r>
      <w:r>
        <w:rPr>
          <w:rFonts w:eastAsia="Arial Unicode MS" w:cs="Arial Unicode MS"/>
        </w:rPr>
        <w:t xml:space="preserve"> Flight Simulation Training Device Qualification Standards for Extended Envelope and Adverse Weather Event Training Tasks; Final Rule: Fed. Reg. Vol. 81 No. 61, 18178, March 30, 2016 </w:t>
      </w:r>
    </w:p>
  </w:endnote>
  <w:endnote w:id="24">
    <w:p w14:paraId="76F224B1" w14:textId="77777777" w:rsidR="00B21026" w:rsidRDefault="00B21026">
      <w:pPr>
        <w:pStyle w:val="Footnote"/>
      </w:pPr>
      <w:r>
        <w:rPr>
          <w:vertAlign w:val="superscript"/>
        </w:rPr>
        <w:endnoteRef/>
      </w:r>
      <w:r>
        <w:rPr>
          <w:rFonts w:eastAsia="Arial Unicode MS" w:cs="Arial Unicode MS"/>
        </w:rPr>
        <w:t xml:space="preserve"> </w:t>
      </w:r>
      <w:proofErr w:type="spellStart"/>
      <w:r>
        <w:rPr>
          <w:rFonts w:eastAsia="Arial Unicode MS" w:cs="Arial Unicode MS"/>
        </w:rPr>
        <w:t>Canaday</w:t>
      </w:r>
      <w:proofErr w:type="spellEnd"/>
      <w:r>
        <w:rPr>
          <w:rFonts w:eastAsia="Arial Unicode MS" w:cs="Arial Unicode MS"/>
        </w:rPr>
        <w:t xml:space="preserve">, Henry;  </w:t>
      </w:r>
      <w:hyperlink r:id="rId2" w:history="1">
        <w:r>
          <w:rPr>
            <w:rStyle w:val="Hyperlink0"/>
            <w:rFonts w:eastAsia="Arial Unicode MS" w:cs="Arial Unicode MS"/>
          </w:rPr>
          <w:t>AerospaceAmerica.aiaa.org</w:t>
        </w:r>
      </w:hyperlink>
      <w:r>
        <w:rPr>
          <w:rFonts w:eastAsia="Arial Unicode MS" w:cs="Arial Unicode MS"/>
        </w:rPr>
        <w:t>, March 6,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BFAF9" w14:textId="77777777" w:rsidR="00B21026" w:rsidRDefault="00B21026">
    <w:pPr>
      <w:pStyle w:val="HeaderFooter"/>
      <w:tabs>
        <w:tab w:val="clear" w:pos="9020"/>
        <w:tab w:val="center" w:pos="4680"/>
        <w:tab w:val="right" w:pos="9360"/>
      </w:tabs>
    </w:pPr>
    <w:r>
      <w:tab/>
    </w:r>
    <w:r w:rsidR="00785044">
      <w:fldChar w:fldCharType="begin"/>
    </w:r>
    <w:r w:rsidR="00785044">
      <w:instrText xml:space="preserve"> PAGE </w:instrText>
    </w:r>
    <w:r w:rsidR="00785044">
      <w:fldChar w:fldCharType="separate"/>
    </w:r>
    <w:r w:rsidR="00854424">
      <w:rPr>
        <w:noProof/>
      </w:rPr>
      <w:t>1</w:t>
    </w:r>
    <w:r w:rsidR="00785044">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E1485" w14:textId="77777777" w:rsidR="00785044" w:rsidRDefault="00785044">
      <w:r>
        <w:separator/>
      </w:r>
    </w:p>
  </w:footnote>
  <w:footnote w:type="continuationSeparator" w:id="0">
    <w:p w14:paraId="188793B9" w14:textId="77777777" w:rsidR="00785044" w:rsidRDefault="007850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9EA8A" w14:textId="77777777" w:rsidR="00B21026" w:rsidRDefault="00B210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formatting="0"/>
  <w:defaultTabStop w:val="720"/>
  <w:characterSpacingControl w:val="doNotCompress"/>
  <w:footnotePr>
    <w:footnote w:id="-1"/>
    <w:footnote w:id="0"/>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2E"/>
    <w:rsid w:val="000E1F2E"/>
    <w:rsid w:val="002A49D2"/>
    <w:rsid w:val="002C07A8"/>
    <w:rsid w:val="00304954"/>
    <w:rsid w:val="0067656A"/>
    <w:rsid w:val="007057D2"/>
    <w:rsid w:val="00785044"/>
    <w:rsid w:val="00854424"/>
    <w:rsid w:val="009A688B"/>
    <w:rsid w:val="00B21026"/>
    <w:rsid w:val="00C22511"/>
    <w:rsid w:val="00C26571"/>
    <w:rsid w:val="00E1617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2266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1F2E"/>
    <w:rPr>
      <w:sz w:val="24"/>
      <w:szCs w:val="24"/>
    </w:rPr>
  </w:style>
  <w:style w:type="paragraph" w:styleId="Heading2">
    <w:name w:val="heading 2"/>
    <w:next w:val="Body"/>
    <w:rsid w:val="000E1F2E"/>
    <w:pPr>
      <w:keepNext/>
      <w:outlineLvl w:val="1"/>
    </w:pPr>
    <w:rPr>
      <w:rFonts w:ascii="Helvetica" w:hAnsi="Helvetica"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1F2E"/>
    <w:rPr>
      <w:u w:val="single"/>
    </w:rPr>
  </w:style>
  <w:style w:type="paragraph" w:customStyle="1" w:styleId="HeaderFooter">
    <w:name w:val="Header &amp; Footer"/>
    <w:rsid w:val="000E1F2E"/>
    <w:pPr>
      <w:tabs>
        <w:tab w:val="right" w:pos="9020"/>
      </w:tabs>
    </w:pPr>
    <w:rPr>
      <w:rFonts w:ascii="Helvetica" w:hAnsi="Helvetica" w:cs="Arial Unicode MS"/>
      <w:color w:val="000000"/>
      <w:sz w:val="24"/>
      <w:szCs w:val="24"/>
    </w:rPr>
  </w:style>
  <w:style w:type="paragraph" w:customStyle="1" w:styleId="Heading">
    <w:name w:val="Heading"/>
    <w:next w:val="Body"/>
    <w:rsid w:val="000E1F2E"/>
    <w:pPr>
      <w:keepNext/>
      <w:outlineLvl w:val="0"/>
    </w:pPr>
    <w:rPr>
      <w:rFonts w:ascii="Helvetica" w:hAnsi="Helvetica" w:cs="Arial Unicode MS"/>
      <w:b/>
      <w:bCs/>
      <w:color w:val="000000"/>
      <w:sz w:val="36"/>
      <w:szCs w:val="36"/>
    </w:rPr>
  </w:style>
  <w:style w:type="paragraph" w:customStyle="1" w:styleId="Body">
    <w:name w:val="Body"/>
    <w:rsid w:val="000E1F2E"/>
    <w:rPr>
      <w:rFonts w:ascii="Helvetica" w:hAnsi="Helvetica" w:cs="Arial Unicode MS"/>
      <w:color w:val="000000"/>
      <w:sz w:val="22"/>
      <w:szCs w:val="22"/>
    </w:rPr>
  </w:style>
  <w:style w:type="paragraph" w:customStyle="1" w:styleId="Footnote">
    <w:name w:val="Footnote"/>
    <w:rsid w:val="007057D2"/>
    <w:rPr>
      <w:rFonts w:ascii="Helvetica" w:eastAsia="Helvetica" w:hAnsi="Helvetica" w:cs="Helvetica"/>
      <w:color w:val="000000"/>
      <w:sz w:val="22"/>
      <w:szCs w:val="22"/>
    </w:rPr>
  </w:style>
  <w:style w:type="character" w:customStyle="1" w:styleId="Hyperlink0">
    <w:name w:val="Hyperlink.0"/>
    <w:basedOn w:val="Hyperlink"/>
    <w:rsid w:val="000E1F2E"/>
    <w:rPr>
      <w:u w:val="single"/>
    </w:rPr>
  </w:style>
  <w:style w:type="paragraph" w:customStyle="1" w:styleId="TableStyle1">
    <w:name w:val="Table Style 1"/>
    <w:rsid w:val="000E1F2E"/>
    <w:rPr>
      <w:rFonts w:ascii="Helvetica" w:eastAsia="Helvetica" w:hAnsi="Helvetica" w:cs="Helvetica"/>
      <w:b/>
      <w:bCs/>
      <w:color w:val="000000"/>
    </w:rPr>
  </w:style>
  <w:style w:type="paragraph" w:customStyle="1" w:styleId="TableStyle2">
    <w:name w:val="Table Style 2"/>
    <w:rsid w:val="000E1F2E"/>
    <w:rPr>
      <w:rFonts w:ascii="Helvetica" w:eastAsia="Helvetica" w:hAnsi="Helvetica" w:cs="Helvetica"/>
      <w:color w:val="000000"/>
    </w:rPr>
  </w:style>
  <w:style w:type="paragraph" w:styleId="EndnoteText">
    <w:name w:val="endnote text"/>
    <w:basedOn w:val="Normal"/>
    <w:link w:val="EndnoteTextChar"/>
    <w:uiPriority w:val="99"/>
    <w:semiHidden/>
    <w:unhideWhenUsed/>
    <w:rsid w:val="009A688B"/>
  </w:style>
  <w:style w:type="character" w:customStyle="1" w:styleId="EndnoteTextChar">
    <w:name w:val="Endnote Text Char"/>
    <w:basedOn w:val="DefaultParagraphFont"/>
    <w:link w:val="EndnoteText"/>
    <w:uiPriority w:val="99"/>
    <w:semiHidden/>
    <w:rsid w:val="009A688B"/>
    <w:rPr>
      <w:sz w:val="24"/>
      <w:szCs w:val="24"/>
    </w:rPr>
  </w:style>
  <w:style w:type="character" w:styleId="EndnoteReference">
    <w:name w:val="endnote reference"/>
    <w:basedOn w:val="DefaultParagraphFont"/>
    <w:uiPriority w:val="99"/>
    <w:semiHidden/>
    <w:unhideWhenUsed/>
    <w:rsid w:val="009A68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s://www.faa.gov/news/fact_sheets/news_story.cfm?newsId=18178" TargetMode="External"/><Relationship Id="rId2" Type="http://schemas.openxmlformats.org/officeDocument/2006/relationships/hyperlink" Target="http://AerospaceAmerica.aiaa.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CB7AB-C448-484A-A180-C2F30455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6935</Words>
  <Characters>39531</Characters>
  <Application>Microsoft Macintosh Word</Application>
  <DocSecurity>0</DocSecurity>
  <Lines>329</Lines>
  <Paragraphs>92</Paragraphs>
  <ScaleCrop>false</ScaleCrop>
  <LinksUpToDate>false</LinksUpToDate>
  <CharactersWithSpaces>46374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2017-05-23T15:01:00Z</cp:lastPrinted>
  <dcterms:created xsi:type="dcterms:W3CDTF">2017-05-23T22:05:00Z</dcterms:created>
  <dcterms:modified xsi:type="dcterms:W3CDTF">2017-05-23T22:05:00Z</dcterms:modified>
</cp:coreProperties>
</file>